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rPr>
          <w:rFonts w:hint="eastAsia" w:ascii="方正小标宋简体" w:hAnsi="方正小标宋简体" w:eastAsia="方正小标宋简体" w:cs="方正小标宋简体"/>
          <w:b w:val="0"/>
          <w:bCs w:val="0"/>
          <w:snapToGrid/>
          <w:kern w:val="2"/>
          <w:sz w:val="44"/>
          <w:szCs w:val="44"/>
        </w:rPr>
      </w:pPr>
    </w:p>
    <w:p>
      <w:pPr>
        <w:rPr>
          <w:rFonts w:hint="eastAsia" w:eastAsiaTheme="minorEastAsia"/>
        </w:rPr>
      </w:pPr>
    </w:p>
    <w:p>
      <w:pPr>
        <w:widowControl w:val="0"/>
        <w:kinsoku/>
        <w:autoSpaceDE/>
        <w:autoSpaceDN/>
        <w:adjustRightInd/>
        <w:snapToGrid/>
        <w:spacing w:line="560" w:lineRule="exact"/>
        <w:jc w:val="center"/>
        <w:textAlignment w:val="auto"/>
        <w:rPr>
          <w:rFonts w:ascii="仿宋_GB2312" w:hAnsi="仿宋_GB2312" w:eastAsia="仿宋_GB2312" w:cs="仿宋_GB2312"/>
          <w:snapToGrid/>
          <w:kern w:val="2"/>
          <w:sz w:val="32"/>
          <w:szCs w:val="32"/>
        </w:rPr>
      </w:pPr>
      <w:r>
        <w:rPr>
          <w:rFonts w:hint="eastAsia" w:ascii="方正小标宋简体" w:hAnsi="方正小标宋简体" w:eastAsia="方正小标宋简体" w:cs="方正小标宋简体"/>
          <w:snapToGrid/>
          <w:kern w:val="2"/>
          <w:sz w:val="44"/>
          <w:szCs w:val="44"/>
        </w:rPr>
        <w:t>关于印发池州市危险化学品烟花爆竹领域重大事故隐患专项排查整治2023行动总体方案暨夏季安全生产大排查方案的通知</w:t>
      </w:r>
    </w:p>
    <w:p>
      <w:pPr>
        <w:pStyle w:val="3"/>
        <w:spacing w:before="0" w:after="0" w:line="560" w:lineRule="exact"/>
        <w:rPr>
          <w:rFonts w:ascii="仿宋_GB2312" w:hAnsi="仿宋_GB2312" w:eastAsia="仿宋_GB2312" w:cs="仿宋_GB2312"/>
          <w:b w:val="0"/>
          <w:bCs w:val="0"/>
          <w:snapToGrid/>
          <w:kern w:val="2"/>
        </w:rPr>
      </w:pPr>
    </w:p>
    <w:p>
      <w:pPr>
        <w:pStyle w:val="3"/>
        <w:spacing w:before="0" w:after="0" w:line="560" w:lineRule="exact"/>
        <w:rPr>
          <w:rFonts w:ascii="仿宋_GB2312" w:hAnsi="仿宋_GB2312" w:eastAsia="仿宋_GB2312" w:cs="仿宋_GB2312"/>
          <w:b w:val="0"/>
          <w:bCs w:val="0"/>
          <w:snapToGrid/>
          <w:kern w:val="2"/>
        </w:rPr>
      </w:pPr>
      <w:r>
        <w:rPr>
          <w:rFonts w:hint="eastAsia" w:ascii="仿宋_GB2312" w:hAnsi="仿宋_GB2312" w:eastAsia="仿宋_GB2312" w:cs="仿宋_GB2312"/>
          <w:b w:val="0"/>
          <w:bCs w:val="0"/>
          <w:snapToGrid/>
          <w:kern w:val="2"/>
        </w:rPr>
        <w:t>各县区应急管理局，江南新兴产业集中区、九华山风景区、开发区应急管理局，市直有关企业：</w:t>
      </w:r>
    </w:p>
    <w:p>
      <w:pPr>
        <w:pStyle w:val="3"/>
        <w:spacing w:before="0" w:after="0" w:line="560" w:lineRule="exact"/>
        <w:ind w:firstLine="640" w:firstLineChars="200"/>
        <w:rPr>
          <w:rFonts w:ascii="仿宋_GB2312" w:hAnsi="仿宋_GB2312" w:eastAsia="仿宋_GB2312" w:cs="仿宋_GB2312"/>
          <w:b w:val="0"/>
          <w:bCs w:val="0"/>
          <w:snapToGrid/>
          <w:kern w:val="2"/>
        </w:rPr>
      </w:pPr>
      <w:r>
        <w:rPr>
          <w:rFonts w:hint="eastAsia" w:ascii="仿宋_GB2312" w:hAnsi="仿宋_GB2312" w:eastAsia="仿宋_GB2312" w:cs="仿宋_GB2312"/>
          <w:b w:val="0"/>
          <w:bCs w:val="0"/>
          <w:snapToGrid/>
          <w:kern w:val="2"/>
        </w:rPr>
        <w:t>为认真贯彻落实全市安全生产工作会议精神，深刻吸取近期省内外发生的生产安全事故教训，有效防范化解危险化学品烟花爆竹领域重大安全风险，根据《池州市重大事故隐患专项排查整治2023行动总体方案暨夏季安全生产大排查方案》（池安〔2023〕7号）部署要求，市局决定自即日起在全市开展危险化学品烟花爆竹领域重大事故隐患专项排查整治2023行动暨夏季安全生产大排查工作。现将《池州市危险化学品烟花爆竹领域重大事故隐患专项排查整治2023行动总体方案暨夏季安全生产大排查方案》发给你们，请认真抓好落实。</w:t>
      </w:r>
    </w:p>
    <w:p>
      <w:pPr>
        <w:spacing w:line="540" w:lineRule="exact"/>
        <w:rPr>
          <w:rFonts w:ascii="仿宋_GB2312" w:hAnsi="仿宋_GB2312" w:eastAsia="仿宋_GB2312" w:cs="仿宋_GB2312"/>
          <w:snapToGrid/>
          <w:kern w:val="2"/>
        </w:rPr>
      </w:pPr>
    </w:p>
    <w:p>
      <w:pPr>
        <w:pStyle w:val="3"/>
        <w:spacing w:line="540" w:lineRule="exact"/>
      </w:pPr>
    </w:p>
    <w:p>
      <w:pPr>
        <w:pStyle w:val="3"/>
        <w:spacing w:before="0" w:after="0" w:line="540" w:lineRule="exact"/>
        <w:jc w:val="right"/>
        <w:rPr>
          <w:rFonts w:ascii="仿宋_GB2312" w:hAnsi="仿宋_GB2312" w:eastAsia="仿宋_GB2312" w:cs="仿宋_GB2312"/>
          <w:b w:val="0"/>
          <w:bCs w:val="0"/>
          <w:snapToGrid/>
          <w:kern w:val="2"/>
        </w:rPr>
      </w:pPr>
      <w:r>
        <w:rPr>
          <w:rFonts w:hint="eastAsia" w:ascii="仿宋_GB2312" w:hAnsi="仿宋_GB2312" w:eastAsia="仿宋_GB2312" w:cs="仿宋_GB2312"/>
          <w:b w:val="0"/>
          <w:bCs w:val="0"/>
          <w:snapToGrid/>
          <w:kern w:val="2"/>
        </w:rPr>
        <w:t>池州市应急管理局</w:t>
      </w:r>
    </w:p>
    <w:p>
      <w:pPr>
        <w:spacing w:line="540" w:lineRule="exact"/>
        <w:jc w:val="right"/>
        <w:rPr>
          <w:rFonts w:ascii="仿宋_GB2312" w:hAnsi="仿宋_GB2312" w:eastAsia="仿宋_GB2312" w:cs="仿宋_GB2312"/>
          <w:snapToGrid/>
          <w:kern w:val="2"/>
          <w:sz w:val="32"/>
          <w:szCs w:val="32"/>
        </w:rPr>
      </w:pPr>
      <w:r>
        <w:rPr>
          <w:rFonts w:hint="eastAsia" w:ascii="仿宋_GB2312" w:hAnsi="仿宋_GB2312" w:eastAsia="仿宋_GB2312" w:cs="仿宋_GB2312"/>
          <w:snapToGrid/>
          <w:kern w:val="2"/>
          <w:sz w:val="32"/>
          <w:szCs w:val="32"/>
        </w:rPr>
        <w:t>2023年5月18日</w:t>
      </w:r>
    </w:p>
    <w:p>
      <w:pPr>
        <w:widowControl w:val="0"/>
        <w:kinsoku/>
        <w:autoSpaceDE/>
        <w:autoSpaceDN/>
        <w:adjustRightInd/>
        <w:snapToGrid/>
        <w:spacing w:line="640" w:lineRule="exact"/>
        <w:jc w:val="center"/>
        <w:textAlignment w:val="auto"/>
        <w:rPr>
          <w:rFonts w:ascii="方正小标宋简体" w:hAnsi="方正小标宋简体" w:eastAsia="方正小标宋简体" w:cs="方正小标宋简体"/>
          <w:snapToGrid/>
          <w:kern w:val="2"/>
          <w:sz w:val="44"/>
          <w:szCs w:val="44"/>
        </w:rPr>
      </w:pPr>
    </w:p>
    <w:p>
      <w:pPr>
        <w:widowControl w:val="0"/>
        <w:kinsoku/>
        <w:autoSpaceDE/>
        <w:autoSpaceDN/>
        <w:adjustRightInd/>
        <w:snapToGrid/>
        <w:spacing w:line="640" w:lineRule="exact"/>
        <w:jc w:val="center"/>
        <w:textAlignment w:val="auto"/>
        <w:rPr>
          <w:rFonts w:ascii="方正小标宋简体" w:hAnsi="方正小标宋简体" w:eastAsia="方正小标宋简体" w:cs="方正小标宋简体"/>
          <w:snapToGrid/>
          <w:kern w:val="2"/>
          <w:sz w:val="44"/>
          <w:szCs w:val="44"/>
        </w:rPr>
      </w:pPr>
    </w:p>
    <w:p>
      <w:pPr>
        <w:widowControl w:val="0"/>
        <w:kinsoku/>
        <w:autoSpaceDE/>
        <w:autoSpaceDN/>
        <w:adjustRightInd/>
        <w:snapToGrid/>
        <w:spacing w:line="640" w:lineRule="exact"/>
        <w:jc w:val="center"/>
        <w:textAlignment w:val="auto"/>
        <w:rPr>
          <w:rFonts w:ascii="方正小标宋简体" w:hAnsi="方正小标宋简体" w:eastAsia="方正小标宋简体" w:cs="方正小标宋简体"/>
          <w:snapToGrid/>
          <w:kern w:val="2"/>
          <w:sz w:val="44"/>
          <w:szCs w:val="44"/>
        </w:rPr>
      </w:pPr>
      <w:r>
        <w:rPr>
          <w:rFonts w:hint="eastAsia" w:ascii="方正小标宋简体" w:hAnsi="方正小标宋简体" w:eastAsia="方正小标宋简体" w:cs="方正小标宋简体"/>
          <w:snapToGrid/>
          <w:kern w:val="2"/>
          <w:sz w:val="44"/>
          <w:szCs w:val="44"/>
        </w:rPr>
        <w:t>池州市危险化学品烟花爆竹领域重大事故隐患专项排查整治2023行动总体方案</w:t>
      </w:r>
    </w:p>
    <w:p>
      <w:pPr>
        <w:widowControl w:val="0"/>
        <w:kinsoku/>
        <w:autoSpaceDE/>
        <w:autoSpaceDN/>
        <w:adjustRightInd/>
        <w:snapToGrid/>
        <w:spacing w:line="640" w:lineRule="exact"/>
        <w:jc w:val="center"/>
        <w:textAlignment w:val="auto"/>
        <w:rPr>
          <w:rFonts w:ascii="方正小标宋简体" w:hAnsi="方正小标宋简体" w:eastAsia="方正小标宋简体" w:cs="方正小标宋简体"/>
          <w:snapToGrid/>
          <w:kern w:val="2"/>
          <w:sz w:val="44"/>
          <w:szCs w:val="44"/>
        </w:rPr>
      </w:pPr>
      <w:r>
        <w:rPr>
          <w:rFonts w:hint="eastAsia" w:ascii="方正小标宋简体" w:hAnsi="方正小标宋简体" w:eastAsia="方正小标宋简体" w:cs="方正小标宋简体"/>
          <w:snapToGrid/>
          <w:kern w:val="2"/>
          <w:sz w:val="44"/>
          <w:szCs w:val="44"/>
        </w:rPr>
        <w:t>暨夏季安全生产大排查方案</w:t>
      </w:r>
    </w:p>
    <w:p>
      <w:pPr>
        <w:pStyle w:val="3"/>
        <w:spacing w:before="0" w:after="0" w:line="560" w:lineRule="exact"/>
        <w:ind w:firstLine="640" w:firstLineChars="200"/>
        <w:rPr>
          <w:rFonts w:ascii="仿宋_GB2312" w:hAnsi="仿宋_GB2312" w:eastAsia="仿宋_GB2312" w:cs="仿宋_GB2312"/>
          <w:b w:val="0"/>
          <w:bCs w:val="0"/>
          <w:snapToGrid/>
          <w:kern w:val="2"/>
        </w:rPr>
      </w:pPr>
    </w:p>
    <w:p>
      <w:pPr>
        <w:pStyle w:val="3"/>
        <w:spacing w:before="0" w:after="0" w:line="560" w:lineRule="exact"/>
        <w:ind w:firstLine="320" w:firstLineChars="100"/>
        <w:rPr>
          <w:rFonts w:ascii="仿宋_GB2312" w:hAnsi="仿宋_GB2312" w:eastAsia="仿宋_GB2312" w:cs="仿宋_GB2312"/>
          <w:b w:val="0"/>
          <w:bCs w:val="0"/>
          <w:snapToGrid/>
          <w:kern w:val="2"/>
        </w:rPr>
      </w:pPr>
      <w:r>
        <w:rPr>
          <w:rFonts w:hint="eastAsia" w:ascii="仿宋_GB2312" w:hAnsi="仿宋_GB2312" w:eastAsia="仿宋_GB2312" w:cs="仿宋_GB2312"/>
          <w:b w:val="0"/>
          <w:bCs w:val="0"/>
          <w:snapToGrid/>
          <w:kern w:val="2"/>
        </w:rPr>
        <w:t>为有效防范化解危险化学品烟花爆竹领域重大安全风险，确保重大事故隐患专项排查整治2023行动暨夏季安全生产大排查工作取得实效，特制定本方案：</w:t>
      </w:r>
    </w:p>
    <w:p>
      <w:pPr>
        <w:kinsoku/>
        <w:autoSpaceDE/>
        <w:autoSpaceDN/>
        <w:adjustRightInd/>
        <w:snapToGrid/>
        <w:spacing w:line="560" w:lineRule="exact"/>
        <w:ind w:firstLine="643" w:firstLineChars="200"/>
        <w:rPr>
          <w:rFonts w:ascii="黑体" w:hAnsi="黑体" w:eastAsia="黑体" w:cs="宋体"/>
          <w:b/>
          <w:bCs/>
          <w:snapToGrid/>
          <w:sz w:val="32"/>
          <w:szCs w:val="32"/>
        </w:rPr>
      </w:pPr>
      <w:r>
        <w:rPr>
          <w:rFonts w:hint="eastAsia" w:ascii="黑体" w:hAnsi="黑体" w:eastAsia="黑体" w:cs="宋体"/>
          <w:b/>
          <w:bCs/>
          <w:snapToGrid/>
          <w:sz w:val="32"/>
          <w:szCs w:val="32"/>
        </w:rPr>
        <w:t>一、总体目标</w:t>
      </w:r>
    </w:p>
    <w:p>
      <w:pPr>
        <w:pStyle w:val="3"/>
        <w:spacing w:before="0" w:after="0" w:line="560" w:lineRule="exact"/>
        <w:ind w:firstLine="640" w:firstLineChars="200"/>
        <w:rPr>
          <w:rFonts w:ascii="仿宋_GB2312" w:hAnsi="仿宋_GB2312" w:eastAsia="仿宋_GB2312" w:cs="仿宋_GB2312"/>
          <w:b w:val="0"/>
          <w:bCs w:val="0"/>
          <w:snapToGrid/>
          <w:kern w:val="2"/>
        </w:rPr>
      </w:pPr>
      <w:r>
        <w:rPr>
          <w:rFonts w:hint="eastAsia" w:ascii="仿宋_GB2312" w:hAnsi="仿宋_GB2312" w:eastAsia="仿宋_GB2312" w:cs="仿宋_GB2312"/>
          <w:b w:val="0"/>
          <w:bCs w:val="0"/>
          <w:snapToGrid/>
          <w:kern w:val="2"/>
        </w:rPr>
        <w:t>全面开展危险化学品烟花爆竹领域重大事故隐患专项排查整治，动态掌握重大事故隐患底数，着力提升企业自查自改重大隐患积极性，不断压实企业安全生产主体责任；系统治理重大事故隐患，着力防范化解危险化学品烟花爆竹领域重大风险，有效防范生产安全事故发生，确保化工和危险化学品领域安全生产形势持续稳定。</w:t>
      </w:r>
    </w:p>
    <w:p>
      <w:pPr>
        <w:pStyle w:val="3"/>
        <w:spacing w:before="0" w:after="0" w:line="560" w:lineRule="exact"/>
        <w:ind w:firstLine="643" w:firstLineChars="200"/>
      </w:pPr>
      <w:r>
        <w:rPr>
          <w:rFonts w:hint="eastAsia" w:ascii="黑体" w:hAnsi="黑体" w:eastAsia="黑体" w:cs="宋体"/>
          <w:snapToGrid/>
        </w:rPr>
        <w:t>二、排查内容</w:t>
      </w:r>
    </w:p>
    <w:p>
      <w:pPr>
        <w:widowControl w:val="0"/>
        <w:kinsoku/>
        <w:autoSpaceDE/>
        <w:autoSpaceDN/>
        <w:spacing w:line="560" w:lineRule="exact"/>
        <w:ind w:firstLine="643" w:firstLineChars="200"/>
        <w:jc w:val="both"/>
        <w:rPr>
          <w:rFonts w:ascii="仿宋_GB2312" w:hAnsi="仿宋_GB2312" w:eastAsia="仿宋_GB2312" w:cs="仿宋_GB2312"/>
          <w:snapToGrid/>
          <w:kern w:val="2"/>
          <w:sz w:val="32"/>
          <w:szCs w:val="32"/>
        </w:rPr>
      </w:pPr>
      <w:r>
        <w:rPr>
          <w:rFonts w:hint="eastAsia" w:ascii="楷体" w:hAnsi="楷体" w:eastAsia="楷体" w:cs="楷体"/>
          <w:b/>
          <w:bCs/>
          <w:snapToGrid/>
          <w:kern w:val="2"/>
          <w:sz w:val="32"/>
          <w:szCs w:val="32"/>
        </w:rPr>
        <w:t>（一）突出企业主要负责人第一责任带动全员安全生产岗位责任落实，切实提高企业隐患排查和整改质量。</w:t>
      </w:r>
      <w:r>
        <w:rPr>
          <w:rFonts w:hint="eastAsia" w:ascii="仿宋_GB2312" w:hAnsi="仿宋_GB2312" w:eastAsia="仿宋_GB2312" w:cs="仿宋_GB2312"/>
          <w:snapToGrid/>
          <w:kern w:val="2"/>
          <w:sz w:val="32"/>
          <w:szCs w:val="32"/>
        </w:rPr>
        <w:t>企业是事故隐患排查整治的责任主体，企业主要负责人是法定的安全生产第一责任人，建立健全并落实本单位全员安全生产岗位责任制、组织排查整改进而消除重大事故隐患是主要负责人的法定义务。各地区、各有关部门要督促企业主要负责人在全面落实安全生产法规定职责基础上，突出抓好以下六项工作：</w:t>
      </w:r>
    </w:p>
    <w:p>
      <w:pPr>
        <w:widowControl w:val="0"/>
        <w:kinsoku/>
        <w:autoSpaceDE/>
        <w:autoSpaceDN/>
        <w:spacing w:line="560" w:lineRule="exact"/>
        <w:ind w:firstLine="643" w:firstLineChars="200"/>
        <w:jc w:val="both"/>
        <w:rPr>
          <w:rFonts w:ascii="仿宋_GB2312" w:hAnsi="仿宋_GB2312" w:eastAsia="仿宋_GB2312" w:cs="仿宋_GB2312"/>
          <w:snapToGrid/>
          <w:kern w:val="2"/>
          <w:sz w:val="32"/>
          <w:szCs w:val="32"/>
        </w:rPr>
      </w:pPr>
      <w:r>
        <w:rPr>
          <w:rFonts w:hint="eastAsia" w:ascii="楷体" w:hAnsi="楷体" w:eastAsia="楷体" w:cs="楷体"/>
          <w:b/>
          <w:bCs/>
          <w:sz w:val="32"/>
          <w:szCs w:val="32"/>
        </w:rPr>
        <w:t>1.研究组织本企业重大事故隐患专项整治。</w:t>
      </w:r>
      <w:r>
        <w:rPr>
          <w:rFonts w:hint="eastAsia" w:ascii="仿宋_GB2312" w:hAnsi="仿宋_GB2312" w:eastAsia="仿宋_GB2312" w:cs="仿宋_GB2312"/>
          <w:snapToGrid/>
          <w:kern w:val="2"/>
          <w:sz w:val="32"/>
          <w:szCs w:val="32"/>
        </w:rPr>
        <w:t>企业主要负责人要贯彻落实《安徽省生产安全事故隐患排查治理办法》，建立事故隐患排查治理制度，学习</w:t>
      </w:r>
      <w:r>
        <w:rPr>
          <w:rFonts w:hint="eastAsia" w:ascii="仿宋_GB2312" w:hAnsi="仿宋_GB2312" w:eastAsia="仿宋_GB2312" w:cs="仿宋_GB2312"/>
          <w:snapToGrid/>
          <w:kern w:val="2"/>
          <w:sz w:val="32"/>
          <w:szCs w:val="32"/>
          <w:lang w:eastAsia="zh-CN"/>
        </w:rPr>
        <w:t>危险化学品烟花爆竹</w:t>
      </w:r>
      <w:r>
        <w:rPr>
          <w:rFonts w:hint="eastAsia" w:ascii="仿宋_GB2312" w:hAnsi="仿宋_GB2312" w:eastAsia="仿宋_GB2312" w:cs="仿宋_GB2312"/>
          <w:snapToGrid/>
          <w:kern w:val="2"/>
          <w:sz w:val="32"/>
          <w:szCs w:val="32"/>
        </w:rPr>
        <w:t>重大事故隐患判定标准</w:t>
      </w:r>
      <w:r>
        <w:rPr>
          <w:rFonts w:hint="eastAsia" w:ascii="仿宋_GB2312" w:hAnsi="仿宋_GB2312" w:eastAsia="仿宋_GB2312" w:cs="仿宋_GB2312"/>
          <w:snapToGrid/>
          <w:kern w:val="2"/>
          <w:sz w:val="32"/>
          <w:szCs w:val="32"/>
          <w:lang w:eastAsia="zh-CN"/>
        </w:rPr>
        <w:t>（见附件</w:t>
      </w:r>
      <w:r>
        <w:rPr>
          <w:rFonts w:hint="eastAsia" w:ascii="仿宋_GB2312" w:hAnsi="仿宋_GB2312" w:eastAsia="仿宋_GB2312" w:cs="仿宋_GB2312"/>
          <w:snapToGrid/>
          <w:kern w:val="2"/>
          <w:sz w:val="32"/>
          <w:szCs w:val="32"/>
          <w:lang w:val="en-US" w:eastAsia="zh-CN"/>
        </w:rPr>
        <w:t>1、2</w:t>
      </w:r>
      <w:r>
        <w:rPr>
          <w:rFonts w:hint="eastAsia" w:ascii="仿宋_GB2312" w:hAnsi="仿宋_GB2312" w:eastAsia="仿宋_GB2312" w:cs="仿宋_GB2312"/>
          <w:snapToGrid/>
          <w:kern w:val="2"/>
          <w:sz w:val="32"/>
          <w:szCs w:val="32"/>
          <w:lang w:eastAsia="zh-CN"/>
        </w:rPr>
        <w:t>）</w:t>
      </w:r>
      <w:r>
        <w:rPr>
          <w:rFonts w:hint="eastAsia" w:ascii="仿宋_GB2312" w:hAnsi="仿宋_GB2312" w:eastAsia="仿宋_GB2312" w:cs="仿宋_GB2312"/>
          <w:snapToGrid/>
          <w:kern w:val="2"/>
          <w:sz w:val="32"/>
          <w:szCs w:val="32"/>
        </w:rPr>
        <w:t>，组织研究部署开展对标自查自改。要组织细化企业各层级排查整治责任分工和工作要求，完善企业内部奖励机制，发动全员包括车间班组一线员工积极排查整治。要组织建立企业重大事故隐患台账，实行闭环管理，确保责任、措施、资金、期限和应急预案落实到位。要及时吸取国内外发生的典型事故教训，迅速组织排查本企业同类事故隐患。专项整治期间，主要负责人每季度要带队对本单位重大事故隐患排查整治情况至少开展1次检查（高危行业领域企业每月至少1次）。</w:t>
      </w:r>
    </w:p>
    <w:p>
      <w:pPr>
        <w:widowControl w:val="0"/>
        <w:kinsoku/>
        <w:autoSpaceDE/>
        <w:autoSpaceDN/>
        <w:spacing w:line="560" w:lineRule="exact"/>
        <w:ind w:firstLine="643" w:firstLineChars="200"/>
        <w:jc w:val="both"/>
        <w:rPr>
          <w:rFonts w:ascii="仿宋_GB2312" w:hAnsi="仿宋_GB2312" w:eastAsia="仿宋_GB2312" w:cs="仿宋_GB2312"/>
          <w:snapToGrid/>
          <w:kern w:val="2"/>
          <w:sz w:val="32"/>
          <w:szCs w:val="32"/>
        </w:rPr>
      </w:pPr>
      <w:r>
        <w:rPr>
          <w:rFonts w:hint="eastAsia" w:ascii="楷体" w:hAnsi="楷体" w:eastAsia="楷体" w:cs="楷体"/>
          <w:b/>
          <w:bCs/>
          <w:sz w:val="32"/>
          <w:szCs w:val="32"/>
        </w:rPr>
        <w:t>2.落实全员安全生产岗位责任发挥管理团队和专家作用。</w:t>
      </w:r>
      <w:r>
        <w:rPr>
          <w:rFonts w:hint="eastAsia" w:ascii="仿宋_GB2312" w:hAnsi="仿宋_GB2312" w:eastAsia="仿宋_GB2312" w:cs="仿宋_GB2312"/>
          <w:snapToGrid/>
          <w:kern w:val="2"/>
          <w:sz w:val="32"/>
          <w:szCs w:val="32"/>
        </w:rPr>
        <w:t>企业主要负责人要建立健全全员安全生产岗位责任制，明确从主要负责人到一线从业人员（包括劳务派遣人员、实习生等）的安全生产岗位责任。要突出管理团队安全责任落实，组织制定企业各分管负责人安全生产职责清单和本次专项行动工作清单；按规定设置安全生产管理机构或者配备专兼职安全生产管理人员；根据需要聘请行业领域安全生产专家强化技术指导，精准查找重大事故隐患、科学治理重大事故隐患，提高隐患排查和整改的质量。</w:t>
      </w:r>
    </w:p>
    <w:p>
      <w:pPr>
        <w:widowControl w:val="0"/>
        <w:kinsoku/>
        <w:autoSpaceDE/>
        <w:autoSpaceDN/>
        <w:spacing w:line="560" w:lineRule="exact"/>
        <w:ind w:firstLine="643" w:firstLineChars="200"/>
        <w:jc w:val="both"/>
        <w:rPr>
          <w:rFonts w:ascii="仿宋_GB2312" w:hAnsi="仿宋_GB2312" w:eastAsia="仿宋_GB2312" w:cs="仿宋_GB2312"/>
          <w:snapToGrid/>
          <w:kern w:val="2"/>
          <w:sz w:val="32"/>
          <w:szCs w:val="32"/>
        </w:rPr>
      </w:pPr>
      <w:r>
        <w:rPr>
          <w:rFonts w:hint="eastAsia" w:ascii="楷体" w:hAnsi="楷体" w:eastAsia="楷体" w:cs="楷体"/>
          <w:b/>
          <w:bCs/>
          <w:sz w:val="32"/>
          <w:szCs w:val="32"/>
        </w:rPr>
        <w:t>3.组织对动火等危险作业开展排查整治。</w:t>
      </w:r>
      <w:r>
        <w:rPr>
          <w:rFonts w:hint="eastAsia" w:ascii="仿宋_GB2312" w:hAnsi="仿宋_GB2312" w:eastAsia="仿宋_GB2312" w:cs="仿宋_GB2312"/>
          <w:snapToGrid/>
          <w:kern w:val="2"/>
          <w:sz w:val="32"/>
          <w:szCs w:val="32"/>
        </w:rPr>
        <w:t>企业主要负责人要深刻吸取近期国内违规动火引发的重特大事故教训，组织开展1次全员安全警示教育活动；严格履行电气焊等动火作业审批手续，督促作业人员严格遵守消防安全操作规程，明确现场监护人员，严格落实消防安全措施检查和作业过程监督；组织对电气焊设备进行全面安全检查，严禁带病作业，不得使用淘汰或危及安全的电气焊设备。举一反三组织对动火等危险作业人员以及易产生重大事故隐患的其他关键岗位人员落实岗位责任情况进行1次全面排查，严禁聘用和招请未经安全培训合格、未取得相关证书的人员在特种作业岗位上岗作业，明确“谁招请无证人员，谁负责任”的管理制度。</w:t>
      </w:r>
    </w:p>
    <w:p>
      <w:pPr>
        <w:widowControl w:val="0"/>
        <w:kinsoku/>
        <w:autoSpaceDE/>
        <w:autoSpaceDN/>
        <w:spacing w:line="560" w:lineRule="exact"/>
        <w:ind w:firstLine="643" w:firstLineChars="200"/>
        <w:jc w:val="both"/>
      </w:pPr>
      <w:r>
        <w:rPr>
          <w:rFonts w:hint="eastAsia" w:ascii="楷体" w:hAnsi="楷体" w:eastAsia="楷体" w:cs="楷体"/>
          <w:b/>
          <w:bCs/>
          <w:sz w:val="32"/>
          <w:szCs w:val="32"/>
        </w:rPr>
        <w:t>4.组织对有限空间作业开展排查整治。</w:t>
      </w:r>
      <w:r>
        <w:rPr>
          <w:rFonts w:hint="eastAsia" w:ascii="仿宋_GB2312" w:hAnsi="仿宋_GB2312" w:eastAsia="仿宋_GB2312" w:cs="仿宋_GB2312"/>
          <w:snapToGrid/>
          <w:kern w:val="2"/>
          <w:sz w:val="32"/>
          <w:szCs w:val="32"/>
        </w:rPr>
        <w:t>吸取近期省、市有限空间事故教训，紧盯有限空间事故易发的</w:t>
      </w:r>
      <w:r>
        <w:rPr>
          <w:rFonts w:hint="eastAsia" w:ascii="仿宋_GB2312" w:hAnsi="仿宋_GB2312" w:eastAsia="仿宋_GB2312" w:cs="仿宋_GB2312"/>
          <w:snapToGrid/>
          <w:kern w:val="2"/>
          <w:sz w:val="32"/>
          <w:szCs w:val="32"/>
          <w:lang w:eastAsia="zh-CN"/>
        </w:rPr>
        <w:t>高危环节</w:t>
      </w:r>
      <w:r>
        <w:rPr>
          <w:rFonts w:hint="eastAsia" w:ascii="仿宋_GB2312" w:hAnsi="仿宋_GB2312" w:eastAsia="仿宋_GB2312" w:cs="仿宋_GB2312"/>
          <w:snapToGrid/>
          <w:kern w:val="2"/>
          <w:sz w:val="32"/>
          <w:szCs w:val="32"/>
        </w:rPr>
        <w:t>，聚焦重点部位、重点场所、重点时段，针对有限空间风险辨识、设施设备设计、管理制度建立和落实、防护应急设备配备和使用、安全教育培训等重点事项，开展全方位风险隐患排查整治。</w:t>
      </w:r>
    </w:p>
    <w:p>
      <w:pPr>
        <w:widowControl w:val="0"/>
        <w:kinsoku/>
        <w:autoSpaceDE/>
        <w:autoSpaceDN/>
        <w:spacing w:line="560" w:lineRule="exact"/>
        <w:ind w:firstLine="643" w:firstLineChars="200"/>
        <w:jc w:val="both"/>
        <w:rPr>
          <w:rFonts w:ascii="仿宋_GB2312" w:hAnsi="仿宋_GB2312" w:eastAsia="仿宋_GB2312" w:cs="仿宋_GB2312"/>
          <w:snapToGrid/>
          <w:kern w:val="2"/>
          <w:sz w:val="32"/>
          <w:szCs w:val="32"/>
        </w:rPr>
      </w:pPr>
      <w:r>
        <w:rPr>
          <w:rFonts w:hint="eastAsia" w:ascii="楷体" w:hAnsi="楷体" w:eastAsia="楷体" w:cs="楷体"/>
          <w:b/>
          <w:bCs/>
          <w:sz w:val="32"/>
          <w:szCs w:val="32"/>
        </w:rPr>
        <w:t>5.组织对外包外租等生产经营活动开展排查整治。</w:t>
      </w:r>
      <w:r>
        <w:rPr>
          <w:rFonts w:hint="eastAsia" w:ascii="仿宋_GB2312" w:hAnsi="仿宋_GB2312" w:eastAsia="仿宋_GB2312" w:cs="仿宋_GB2312"/>
          <w:snapToGrid/>
          <w:kern w:val="2"/>
          <w:sz w:val="32"/>
          <w:szCs w:val="32"/>
        </w:rPr>
        <w:t>要针对本企业生产经营项目和场所外包外租（包括委托、合作等类似方式）情况组织开展1次全面排查，重点检查是否存在承包承租方不具备安全生产条件或者相应资质以及双方未签订安全生产协议、安全生产管理职责不清等问题，不符合法律法规规定的要坚决依法处理；将外包外租等生产经营活动纳入本企业安全生产管理体系，加强统一协调、管理，定期进行安全检查，发现安全问题的及时督促整改。</w:t>
      </w:r>
    </w:p>
    <w:p>
      <w:pPr>
        <w:widowControl w:val="0"/>
        <w:kinsoku/>
        <w:autoSpaceDE/>
        <w:autoSpaceDN/>
        <w:spacing w:line="560" w:lineRule="exact"/>
        <w:ind w:firstLine="643" w:firstLineChars="200"/>
        <w:jc w:val="both"/>
        <w:rPr>
          <w:rFonts w:ascii="仿宋_GB2312" w:hAnsi="仿宋_GB2312" w:eastAsia="仿宋_GB2312" w:cs="仿宋_GB2312"/>
          <w:snapToGrid/>
          <w:kern w:val="2"/>
          <w:sz w:val="32"/>
          <w:szCs w:val="32"/>
        </w:rPr>
      </w:pPr>
      <w:r>
        <w:rPr>
          <w:rFonts w:hint="eastAsia" w:ascii="楷体" w:hAnsi="楷体" w:eastAsia="楷体" w:cs="楷体"/>
          <w:b/>
          <w:bCs/>
          <w:sz w:val="32"/>
          <w:szCs w:val="32"/>
        </w:rPr>
        <w:t>6.组织开展事故应急救援演练活动。</w:t>
      </w:r>
      <w:r>
        <w:rPr>
          <w:rFonts w:hint="eastAsia" w:ascii="仿宋_GB2312" w:hAnsi="仿宋_GB2312" w:eastAsia="仿宋_GB2312" w:cs="仿宋_GB2312"/>
          <w:snapToGrid/>
          <w:kern w:val="2"/>
          <w:sz w:val="32"/>
          <w:szCs w:val="32"/>
        </w:rPr>
        <w:t>要根据本行业领域事故特点，至少组织开展1次事故应急救援预案演练（高危行业领域企业每半年至少1次），特别要让全体从业人员主动落实安全生产岗位责任，熟知安全逃生出口（或避灾路线），切实增强从业人员应急避险意识。</w:t>
      </w:r>
    </w:p>
    <w:p>
      <w:pPr>
        <w:kinsoku/>
        <w:autoSpaceDE/>
        <w:autoSpaceDN/>
        <w:adjustRightInd/>
        <w:snapToGrid/>
        <w:spacing w:line="580" w:lineRule="exact"/>
        <w:ind w:firstLine="643" w:firstLineChars="200"/>
        <w:textAlignment w:val="auto"/>
        <w:rPr>
          <w:rFonts w:ascii="楷体" w:hAnsi="楷体" w:eastAsia="楷体" w:cs="楷体"/>
          <w:b/>
          <w:bCs/>
          <w:snapToGrid/>
          <w:kern w:val="2"/>
          <w:sz w:val="32"/>
          <w:szCs w:val="32"/>
        </w:rPr>
      </w:pPr>
      <w:r>
        <w:rPr>
          <w:rFonts w:hint="eastAsia" w:ascii="楷体" w:hAnsi="楷体" w:eastAsia="楷体" w:cs="楷体"/>
          <w:b/>
          <w:bCs/>
          <w:snapToGrid/>
          <w:kern w:val="2"/>
          <w:sz w:val="32"/>
          <w:szCs w:val="32"/>
        </w:rPr>
        <w:t>（二）全面开展夏季安全生产大排查。</w:t>
      </w:r>
    </w:p>
    <w:p>
      <w:pPr>
        <w:kinsoku/>
        <w:autoSpaceDE/>
        <w:autoSpaceDN/>
        <w:adjustRightInd/>
        <w:snapToGrid/>
        <w:spacing w:line="580" w:lineRule="exact"/>
        <w:ind w:firstLine="643" w:firstLineChars="200"/>
        <w:textAlignment w:val="auto"/>
        <w:rPr>
          <w:rFonts w:ascii="仿宋_GB2312" w:hAnsi="仿宋_GB2312" w:eastAsia="仿宋_GB2312" w:cs="仿宋_GB2312"/>
          <w:sz w:val="32"/>
          <w:szCs w:val="32"/>
        </w:rPr>
      </w:pPr>
      <w:r>
        <w:rPr>
          <w:rFonts w:hint="eastAsia" w:ascii="楷体" w:hAnsi="楷体" w:eastAsia="楷体" w:cs="楷体"/>
          <w:b/>
          <w:bCs/>
          <w:sz w:val="32"/>
          <w:szCs w:val="32"/>
        </w:rPr>
        <w:t>1.强化危险化学品生产储存安全管理。</w:t>
      </w:r>
      <w:r>
        <w:rPr>
          <w:rFonts w:hint="eastAsia" w:ascii="仿宋_GB2312" w:hAnsi="仿宋_GB2312" w:eastAsia="仿宋_GB2312" w:cs="仿宋_GB2312"/>
          <w:sz w:val="32"/>
          <w:szCs w:val="32"/>
        </w:rPr>
        <w:t>督促辖区内危险化学品企业加强危化品储罐区、仓库特别是自反应危化品仓库等关键要害部位的安全管理，所有监控设备、报警及联锁设施正常有效投入运行。全面开展生产和储存的受热易分解物质、易挥发的可燃易燃物质专项排查，突出排查危险化学品仓库混存混放、超量及超品种储存等违法违规行为，采取针对性措施消除隐患，确保生产、储存符合有关法规标准要求。加强对车间、仓库、罐区等重点场所和重要部位的不间断巡查，确保及时有效处置各类异常情况。</w:t>
      </w:r>
    </w:p>
    <w:p>
      <w:pPr>
        <w:kinsoku/>
        <w:autoSpaceDE/>
        <w:autoSpaceDN/>
        <w:adjustRightInd/>
        <w:snapToGrid/>
        <w:spacing w:line="580" w:lineRule="exact"/>
        <w:ind w:firstLine="643" w:firstLineChars="200"/>
        <w:textAlignment w:val="auto"/>
        <w:rPr>
          <w:rFonts w:ascii="仿宋_GB2312" w:hAnsi="仿宋_GB2312" w:eastAsia="仿宋_GB2312" w:cs="仿宋_GB2312"/>
          <w:sz w:val="32"/>
          <w:szCs w:val="32"/>
        </w:rPr>
      </w:pPr>
      <w:r>
        <w:rPr>
          <w:rFonts w:hint="eastAsia" w:ascii="楷体" w:hAnsi="楷体" w:eastAsia="楷体" w:cs="楷体"/>
          <w:b/>
          <w:bCs/>
          <w:sz w:val="32"/>
          <w:szCs w:val="32"/>
        </w:rPr>
        <w:t>2.强化防泄漏管理。</w:t>
      </w:r>
      <w:r>
        <w:rPr>
          <w:rFonts w:hint="eastAsia" w:ascii="仿宋_GB2312" w:hAnsi="仿宋_GB2312" w:eastAsia="仿宋_GB2312" w:cs="仿宋_GB2312"/>
          <w:sz w:val="32"/>
          <w:szCs w:val="32"/>
        </w:rPr>
        <w:t>督促化工和危险化学品生产经营单位定期对生产、储存设备设施进行维修保养，检查特种设备阀门、螺栓和安全附件是否处于安全状态，确保设备设施安全运行；定期对装置设备及管道阀门等易发生泄漏的部位进行泄漏检测，全面辨识评估管控安全风险，及时消除安全隐患；对涉及易燃易爆、剧毒物料的装置、设备、管道的“带病”运行问题，以及采取打“卡具”等临时性防泄漏措施及时进行整改。</w:t>
      </w:r>
    </w:p>
    <w:p>
      <w:pPr>
        <w:spacing w:line="560" w:lineRule="exact"/>
        <w:ind w:firstLine="640"/>
        <w:rPr>
          <w:rFonts w:ascii="仿宋_GB2312" w:hAnsi="仿宋_GB2312" w:eastAsia="仿宋_GB2312" w:cs="仿宋_GB2312"/>
          <w:sz w:val="32"/>
          <w:szCs w:val="32"/>
        </w:rPr>
      </w:pPr>
      <w:r>
        <w:rPr>
          <w:rFonts w:hint="eastAsia" w:ascii="楷体" w:hAnsi="楷体" w:eastAsia="楷体" w:cs="楷体"/>
          <w:b/>
          <w:bCs/>
          <w:sz w:val="32"/>
          <w:szCs w:val="32"/>
        </w:rPr>
        <w:t>3.强化重大危险源管理。</w:t>
      </w:r>
      <w:r>
        <w:rPr>
          <w:rFonts w:hint="eastAsia" w:ascii="仿宋_GB2312" w:hAnsi="方正仿宋_GBK" w:eastAsia="仿宋_GB2312" w:cs="方正仿宋_GBK"/>
          <w:sz w:val="32"/>
          <w:szCs w:val="32"/>
        </w:rPr>
        <w:t>按照《关于开展危险化学品重大危险源企业2023年第一次安全专项检查督导工作的通知》要求，采取企业自查、市级检查、省级抽查、部级督导核查的方式对辖区内重大危险源开展全覆盖检查督导，强化跟踪督办和问效，坚决杜绝责任悬空、包而不保等突出问题。</w:t>
      </w:r>
    </w:p>
    <w:p>
      <w:pPr>
        <w:pStyle w:val="6"/>
        <w:kinsoku/>
        <w:autoSpaceDE/>
        <w:autoSpaceDN/>
        <w:adjustRightInd/>
        <w:snapToGrid/>
        <w:spacing w:line="580" w:lineRule="exact"/>
        <w:ind w:firstLine="643" w:firstLineChars="200"/>
        <w:jc w:val="both"/>
        <w:textAlignment w:val="auto"/>
        <w:rPr>
          <w:rFonts w:hint="default" w:ascii="仿宋_GB2312" w:hAnsi="仿宋_GB2312" w:eastAsia="仿宋_GB2312" w:cs="仿宋_GB2312"/>
          <w:color w:val="0000FF"/>
          <w:kern w:val="2"/>
          <w:sz w:val="32"/>
          <w:szCs w:val="32"/>
        </w:rPr>
      </w:pPr>
      <w:r>
        <w:rPr>
          <w:rFonts w:ascii="楷体" w:hAnsi="楷体" w:eastAsia="楷体" w:cs="楷体"/>
          <w:b/>
          <w:bCs/>
          <w:kern w:val="2"/>
          <w:sz w:val="32"/>
          <w:szCs w:val="32"/>
        </w:rPr>
        <w:t>4.强化高温等恶劣天气作业</w:t>
      </w:r>
      <w:r>
        <w:rPr>
          <w:rFonts w:ascii="楷体" w:hAnsi="楷体" w:eastAsia="楷体" w:cs="楷体"/>
          <w:b/>
          <w:bCs/>
          <w:sz w:val="32"/>
          <w:szCs w:val="32"/>
        </w:rPr>
        <w:t>安全管理。</w:t>
      </w:r>
      <w:r>
        <w:rPr>
          <w:rFonts w:ascii="仿宋_GB2312" w:hAnsi="仿宋_GB2312" w:eastAsia="仿宋_GB2312" w:cs="仿宋_GB2312"/>
          <w:sz w:val="32"/>
          <w:szCs w:val="32"/>
        </w:rPr>
        <w:t>用人单位应当根据生产特点和具体条件，采取合理安排工作时间、轮换作业、适当增加高温工作环境下劳动者的休息时间和减轻劳动强度、减少高温时段室外作业、改善劳动条件等措施。特别是日最高气温达到40℃以上，应当停止室外作业，确保职工身体健康和生命安全。在雷雨大风等极端天气前，应对室外设施设备进行加固，严防设备坍塌等引发生产安全事故。</w:t>
      </w:r>
    </w:p>
    <w:p>
      <w:pPr>
        <w:kinsoku/>
        <w:autoSpaceDE/>
        <w:autoSpaceDN/>
        <w:adjustRightInd/>
        <w:snapToGrid/>
        <w:spacing w:line="580" w:lineRule="exact"/>
        <w:ind w:firstLine="643" w:firstLineChars="200"/>
        <w:textAlignment w:val="auto"/>
        <w:rPr>
          <w:rFonts w:ascii="仿宋_GB2312" w:hAnsi="仿宋_GB2312" w:eastAsia="仿宋_GB2312" w:cs="仿宋_GB2312"/>
          <w:sz w:val="32"/>
          <w:szCs w:val="32"/>
        </w:rPr>
      </w:pPr>
      <w:r>
        <w:rPr>
          <w:rFonts w:hint="eastAsia" w:ascii="楷体" w:hAnsi="楷体" w:eastAsia="楷体" w:cs="楷体"/>
          <w:b/>
          <w:bCs/>
          <w:sz w:val="32"/>
          <w:szCs w:val="32"/>
        </w:rPr>
        <w:t>5.加强烟花爆竹安全管理。</w:t>
      </w:r>
      <w:r>
        <w:rPr>
          <w:rFonts w:hint="eastAsia" w:ascii="仿宋_GB2312" w:hAnsi="仿宋_GB2312" w:eastAsia="仿宋_GB2312" w:cs="仿宋_GB2312"/>
          <w:sz w:val="32"/>
          <w:szCs w:val="32"/>
        </w:rPr>
        <w:t>烟花爆竹批发企业要严格落实库区防火、防潮、防雷、防静电、防盗、防小动物破坏等措施，控制仓库储存量；加强喷淋和通风设施维护，确保高温时段能够及时规范喷淋、通风；要避免高温时段烟花爆竹制品装卸作业，严禁向零售点超量配送。烟花爆竹零售经营单位要认真检查门店防火、防涝措施落实情况，减少门店货物存放量，确保安全。</w:t>
      </w:r>
    </w:p>
    <w:p>
      <w:pPr>
        <w:kinsoku/>
        <w:autoSpaceDE/>
        <w:autoSpaceDN/>
        <w:adjustRightInd/>
        <w:snapToGrid/>
        <w:spacing w:line="560" w:lineRule="exact"/>
        <w:ind w:firstLine="643" w:firstLineChars="200"/>
        <w:rPr>
          <w:rFonts w:ascii="黑体" w:hAnsi="黑体" w:eastAsia="黑体" w:cs="宋体"/>
          <w:b/>
          <w:bCs/>
          <w:snapToGrid/>
          <w:sz w:val="32"/>
          <w:szCs w:val="32"/>
        </w:rPr>
      </w:pPr>
      <w:r>
        <w:rPr>
          <w:rFonts w:hint="eastAsia" w:ascii="黑体" w:hAnsi="黑体" w:eastAsia="黑体" w:cs="宋体"/>
          <w:b/>
          <w:bCs/>
          <w:snapToGrid/>
          <w:sz w:val="32"/>
          <w:szCs w:val="32"/>
        </w:rPr>
        <w:t>三、阶段安排</w:t>
      </w:r>
    </w:p>
    <w:p>
      <w:pPr>
        <w:widowControl w:val="0"/>
        <w:kinsoku/>
        <w:autoSpaceDE/>
        <w:autoSpaceDN/>
        <w:spacing w:line="560" w:lineRule="exact"/>
        <w:ind w:firstLine="643" w:firstLineChars="200"/>
        <w:jc w:val="both"/>
        <w:rPr>
          <w:rFonts w:ascii="仿宋_GB2312" w:hAnsi="仿宋_GB2312" w:eastAsia="仿宋_GB2312" w:cs="仿宋_GB2312"/>
          <w:snapToGrid/>
          <w:kern w:val="2"/>
          <w:sz w:val="32"/>
          <w:szCs w:val="32"/>
        </w:rPr>
      </w:pPr>
      <w:r>
        <w:rPr>
          <w:rFonts w:hint="eastAsia" w:ascii="楷体" w:hAnsi="楷体" w:eastAsia="楷体" w:cs="楷体"/>
          <w:b/>
          <w:bCs/>
          <w:snapToGrid/>
          <w:kern w:val="2"/>
          <w:sz w:val="32"/>
          <w:szCs w:val="32"/>
        </w:rPr>
        <w:t>（一）动员部署（即日起--5月25日）。</w:t>
      </w:r>
      <w:r>
        <w:rPr>
          <w:rFonts w:hint="eastAsia" w:ascii="仿宋_GB2312" w:hAnsi="仿宋_GB2312" w:eastAsia="仿宋_GB2312" w:cs="仿宋_GB2312"/>
          <w:snapToGrid/>
          <w:kern w:val="2"/>
          <w:sz w:val="32"/>
          <w:szCs w:val="32"/>
        </w:rPr>
        <w:t>各地结合当前危险化学品领域正在开展的各类专项整治行动，进一步细化专项整治行动方案，并召开专题会议进行再动员、再部署、再推进。</w:t>
      </w:r>
    </w:p>
    <w:p>
      <w:pPr>
        <w:widowControl w:val="0"/>
        <w:kinsoku/>
        <w:autoSpaceDE/>
        <w:autoSpaceDN/>
        <w:spacing w:line="560" w:lineRule="exact"/>
        <w:ind w:firstLine="643" w:firstLineChars="200"/>
        <w:jc w:val="both"/>
        <w:rPr>
          <w:rFonts w:ascii="仿宋_GB2312" w:hAnsi="仿宋_GB2312" w:eastAsia="仿宋_GB2312" w:cs="仿宋_GB2312"/>
          <w:snapToGrid/>
          <w:kern w:val="2"/>
          <w:sz w:val="32"/>
          <w:szCs w:val="32"/>
        </w:rPr>
      </w:pPr>
      <w:r>
        <w:rPr>
          <w:rFonts w:hint="eastAsia" w:ascii="楷体" w:hAnsi="楷体" w:eastAsia="楷体" w:cs="楷体"/>
          <w:b/>
          <w:bCs/>
          <w:snapToGrid/>
          <w:kern w:val="2"/>
          <w:sz w:val="32"/>
          <w:szCs w:val="32"/>
        </w:rPr>
        <w:t>（二）企业自查（5月26日—8月中旬）。</w:t>
      </w:r>
      <w:r>
        <w:rPr>
          <w:rFonts w:hint="eastAsia" w:ascii="仿宋_GB2312" w:hAnsi="仿宋_GB2312" w:eastAsia="仿宋_GB2312" w:cs="仿宋_GB2312"/>
          <w:snapToGrid/>
          <w:kern w:val="2"/>
          <w:sz w:val="32"/>
          <w:szCs w:val="32"/>
        </w:rPr>
        <w:t>各地要督促辖区内危险化学品烟花爆竹企业认真开展自查自改，有效排查和消除事故隐患，建立安全生产重大事故隐患台账，并按规定报告。</w:t>
      </w:r>
    </w:p>
    <w:p>
      <w:pPr>
        <w:widowControl w:val="0"/>
        <w:kinsoku/>
        <w:autoSpaceDE/>
        <w:autoSpaceDN/>
        <w:spacing w:line="560" w:lineRule="exact"/>
        <w:ind w:firstLine="643" w:firstLineChars="200"/>
        <w:jc w:val="both"/>
        <w:rPr>
          <w:rFonts w:ascii="仿宋_GB2312" w:hAnsi="仿宋_GB2312" w:eastAsia="仿宋_GB2312" w:cs="仿宋_GB2312"/>
          <w:snapToGrid/>
          <w:color w:val="000000" w:themeColor="text1"/>
          <w:kern w:val="2"/>
          <w:sz w:val="32"/>
          <w:szCs w:val="32"/>
        </w:rPr>
      </w:pPr>
      <w:r>
        <w:rPr>
          <w:rFonts w:hint="eastAsia" w:ascii="楷体" w:hAnsi="楷体" w:eastAsia="楷体" w:cs="楷体"/>
          <w:b/>
          <w:bCs/>
          <w:snapToGrid/>
          <w:color w:val="000000" w:themeColor="text1"/>
          <w:kern w:val="2"/>
          <w:sz w:val="32"/>
          <w:szCs w:val="32"/>
        </w:rPr>
        <w:t>（三）夏季安全生产大排查（即日起-8月下旬）。</w:t>
      </w:r>
      <w:r>
        <w:rPr>
          <w:rFonts w:hint="eastAsia" w:ascii="仿宋_GB2312" w:hAnsi="仿宋_GB2312" w:eastAsia="仿宋_GB2312" w:cs="仿宋_GB2312"/>
          <w:snapToGrid/>
          <w:kern w:val="2"/>
          <w:sz w:val="32"/>
          <w:szCs w:val="32"/>
        </w:rPr>
        <w:t>各地要结合化工园区整治提升、安全设计诊断复核、高</w:t>
      </w:r>
      <w:r>
        <w:rPr>
          <w:rFonts w:hint="eastAsia" w:ascii="仿宋_GB2312" w:hAnsi="仿宋_GB2312" w:eastAsia="仿宋_GB2312" w:cs="仿宋_GB2312"/>
          <w:snapToGrid/>
          <w:color w:val="000000" w:themeColor="text1"/>
          <w:kern w:val="2"/>
          <w:sz w:val="32"/>
          <w:szCs w:val="32"/>
        </w:rPr>
        <w:t>危细分领域整治、重大危险源检查督导等专项行动，统筹开展夏季安全生产大排查工作，对检查发现的问题隐患实施清单化闭环管理，分类建立台账，市局将适时随机开展抽查。</w:t>
      </w:r>
    </w:p>
    <w:p>
      <w:pPr>
        <w:widowControl w:val="0"/>
        <w:kinsoku/>
        <w:autoSpaceDE/>
        <w:autoSpaceDN/>
        <w:spacing w:line="560" w:lineRule="exact"/>
        <w:ind w:firstLine="643" w:firstLineChars="200"/>
        <w:jc w:val="both"/>
        <w:rPr>
          <w:rFonts w:ascii="仿宋_GB2312" w:hAnsi="仿宋_GB2312" w:eastAsia="仿宋_GB2312" w:cs="仿宋_GB2312"/>
          <w:snapToGrid/>
          <w:kern w:val="2"/>
          <w:sz w:val="32"/>
          <w:szCs w:val="32"/>
        </w:rPr>
      </w:pPr>
      <w:r>
        <w:rPr>
          <w:rFonts w:hint="eastAsia" w:ascii="楷体" w:hAnsi="楷体" w:eastAsia="楷体" w:cs="楷体"/>
          <w:b/>
          <w:bCs/>
          <w:snapToGrid/>
          <w:color w:val="000000" w:themeColor="text1"/>
          <w:kern w:val="2"/>
          <w:sz w:val="32"/>
          <w:szCs w:val="32"/>
        </w:rPr>
        <w:t>（四）精准执法（贯彻全过程）。</w:t>
      </w:r>
      <w:r>
        <w:rPr>
          <w:rFonts w:hint="eastAsia" w:ascii="仿宋_GB2312" w:hAnsi="仿宋_GB2312" w:eastAsia="仿宋_GB2312" w:cs="仿宋_GB2312"/>
          <w:snapToGrid/>
          <w:color w:val="000000" w:themeColor="text1"/>
          <w:kern w:val="2"/>
          <w:sz w:val="32"/>
          <w:szCs w:val="32"/>
        </w:rPr>
        <w:t>各地要聚焦安全生产重大事故隐患和重点检查事项，聚焦第一责任人履职情况，深入企业、一线开展专项执法检查，全面体检、靠前服务、精准执法，严查</w:t>
      </w:r>
      <w:r>
        <w:rPr>
          <w:rFonts w:hint="eastAsia" w:ascii="仿宋_GB2312" w:hAnsi="仿宋_GB2312" w:eastAsia="仿宋_GB2312" w:cs="仿宋_GB2312"/>
          <w:snapToGrid/>
          <w:kern w:val="2"/>
          <w:sz w:val="32"/>
          <w:szCs w:val="32"/>
        </w:rPr>
        <w:t>各类非法违法和违规违章行为。通过差异化的执法处罚措施推动企业真查真改并按规定主动报告重大事故隐患。</w:t>
      </w:r>
    </w:p>
    <w:p>
      <w:pPr>
        <w:widowControl w:val="0"/>
        <w:kinsoku/>
        <w:autoSpaceDE/>
        <w:autoSpaceDN/>
        <w:spacing w:line="560" w:lineRule="exact"/>
        <w:ind w:firstLine="643" w:firstLineChars="200"/>
        <w:jc w:val="both"/>
        <w:rPr>
          <w:rFonts w:ascii="仿宋_GB2312" w:hAnsi="仿宋_GB2312" w:eastAsia="仿宋_GB2312" w:cs="仿宋_GB2312"/>
          <w:snapToGrid/>
          <w:kern w:val="2"/>
          <w:sz w:val="32"/>
          <w:szCs w:val="32"/>
        </w:rPr>
      </w:pPr>
      <w:r>
        <w:rPr>
          <w:rFonts w:hint="eastAsia" w:ascii="楷体" w:hAnsi="楷体" w:eastAsia="楷体" w:cs="楷体"/>
          <w:b/>
          <w:bCs/>
          <w:snapToGrid/>
          <w:kern w:val="2"/>
          <w:sz w:val="32"/>
          <w:szCs w:val="32"/>
        </w:rPr>
        <w:t>（五）总结提高（12月）。</w:t>
      </w:r>
      <w:r>
        <w:rPr>
          <w:rFonts w:hint="eastAsia" w:ascii="仿宋_GB2312" w:hAnsi="仿宋_GB2312" w:eastAsia="仿宋_GB2312" w:cs="仿宋_GB2312"/>
          <w:snapToGrid/>
          <w:color w:val="000000" w:themeColor="text1"/>
          <w:kern w:val="2"/>
          <w:sz w:val="32"/>
          <w:szCs w:val="32"/>
        </w:rPr>
        <w:t>各地要</w:t>
      </w:r>
      <w:r>
        <w:rPr>
          <w:rFonts w:hint="eastAsia" w:ascii="仿宋_GB2312" w:hAnsi="仿宋_GB2312" w:eastAsia="仿宋_GB2312" w:cs="仿宋_GB2312"/>
          <w:snapToGrid/>
          <w:kern w:val="2"/>
          <w:sz w:val="32"/>
          <w:szCs w:val="32"/>
        </w:rPr>
        <w:t>全面总结专项排查整治取得成效，认真系统梳理好经验、好做法，互学互鉴，不断完善安全生产制度措施，健全完善长效工作机制。</w:t>
      </w:r>
    </w:p>
    <w:p>
      <w:pPr>
        <w:kinsoku/>
        <w:autoSpaceDE/>
        <w:autoSpaceDN/>
        <w:adjustRightInd/>
        <w:snapToGrid/>
        <w:spacing w:line="560" w:lineRule="exact"/>
        <w:ind w:firstLine="643" w:firstLineChars="200"/>
        <w:rPr>
          <w:rFonts w:ascii="黑体" w:hAnsi="黑体" w:eastAsia="黑体" w:cs="宋体"/>
          <w:b/>
          <w:bCs/>
          <w:snapToGrid/>
          <w:sz w:val="32"/>
          <w:szCs w:val="32"/>
        </w:rPr>
      </w:pPr>
      <w:r>
        <w:rPr>
          <w:rFonts w:hint="eastAsia" w:ascii="黑体" w:hAnsi="黑体" w:eastAsia="黑体" w:cs="宋体"/>
          <w:b/>
          <w:bCs/>
          <w:snapToGrid/>
          <w:sz w:val="32"/>
          <w:szCs w:val="32"/>
        </w:rPr>
        <w:t>四、有关要求</w:t>
      </w:r>
    </w:p>
    <w:p>
      <w:pPr>
        <w:widowControl w:val="0"/>
        <w:kinsoku/>
        <w:autoSpaceDE/>
        <w:autoSpaceDN/>
        <w:spacing w:line="560" w:lineRule="exact"/>
        <w:ind w:firstLine="643" w:firstLineChars="200"/>
        <w:jc w:val="both"/>
        <w:rPr>
          <w:rFonts w:ascii="仿宋_GB2312" w:hAnsi="仿宋_GB2312" w:eastAsia="仿宋_GB2312" w:cs="仿宋_GB2312"/>
          <w:snapToGrid/>
          <w:kern w:val="2"/>
          <w:sz w:val="32"/>
          <w:szCs w:val="32"/>
        </w:rPr>
      </w:pPr>
      <w:r>
        <w:rPr>
          <w:rFonts w:hint="eastAsia" w:ascii="楷体" w:hAnsi="楷体" w:eastAsia="楷体" w:cs="楷体"/>
          <w:b/>
          <w:bCs/>
          <w:snapToGrid/>
          <w:kern w:val="2"/>
          <w:sz w:val="32"/>
          <w:szCs w:val="32"/>
        </w:rPr>
        <w:t>（一）精心组织安排。</w:t>
      </w:r>
      <w:r>
        <w:rPr>
          <w:rFonts w:hint="eastAsia" w:ascii="仿宋_GB2312" w:hAnsi="仿宋_GB2312" w:eastAsia="仿宋_GB2312" w:cs="仿宋_GB2312"/>
          <w:snapToGrid/>
          <w:kern w:val="2"/>
          <w:sz w:val="32"/>
          <w:szCs w:val="32"/>
        </w:rPr>
        <w:t>各地要高度重视专项整治工作，加强组织领导，周密部署安排，明确有关负责同志牵头抓总，结合本地区、本行业领域实际情况制定具体工作方案，分解细化责任分工，适当调整完善专项整治内容，有序推进，务求实效，确保专项整治各项工作落地见效。</w:t>
      </w:r>
    </w:p>
    <w:p>
      <w:pPr>
        <w:widowControl w:val="0"/>
        <w:kinsoku/>
        <w:autoSpaceDE/>
        <w:autoSpaceDN/>
        <w:spacing w:line="560" w:lineRule="exact"/>
        <w:ind w:firstLine="643" w:firstLineChars="200"/>
        <w:jc w:val="both"/>
      </w:pPr>
      <w:r>
        <w:rPr>
          <w:rFonts w:hint="eastAsia" w:ascii="楷体" w:hAnsi="楷体" w:eastAsia="楷体" w:cs="楷体"/>
          <w:b/>
          <w:bCs/>
          <w:snapToGrid/>
          <w:kern w:val="2"/>
          <w:sz w:val="32"/>
          <w:szCs w:val="32"/>
        </w:rPr>
        <w:t>（二）严格自查自纠。</w:t>
      </w:r>
      <w:r>
        <w:rPr>
          <w:rFonts w:hint="eastAsia" w:ascii="仿宋_GB2312" w:hAnsi="仿宋_GB2312" w:eastAsia="仿宋_GB2312" w:cs="仿宋_GB2312"/>
          <w:snapToGrid/>
          <w:kern w:val="2"/>
          <w:sz w:val="32"/>
          <w:szCs w:val="32"/>
        </w:rPr>
        <w:t>各地要督促辖区内企业对照危险化学品烟花爆竹重大隐患判定标准全方位开展自查自纠，建立重大隐患台账，落实整改。对企业自查发现的重大事故隐患，已按规定上报并正在采取有效措施消除的，可不予行政处罚。对排查整治不力导致重大事故隐患依然存在或发生事故的，一律从重行政处罚，依法对企业和企业主要负责人实行“一案双罚”。</w:t>
      </w:r>
    </w:p>
    <w:p>
      <w:pPr>
        <w:widowControl w:val="0"/>
        <w:kinsoku/>
        <w:autoSpaceDE/>
        <w:autoSpaceDN/>
        <w:spacing w:line="560" w:lineRule="exact"/>
        <w:ind w:firstLine="643" w:firstLineChars="200"/>
        <w:jc w:val="both"/>
        <w:rPr>
          <w:rFonts w:ascii="仿宋_GB2312" w:hAnsi="仿宋_GB2312" w:eastAsia="仿宋_GB2312" w:cs="仿宋_GB2312"/>
          <w:snapToGrid/>
          <w:kern w:val="2"/>
          <w:sz w:val="32"/>
          <w:szCs w:val="32"/>
        </w:rPr>
      </w:pPr>
      <w:r>
        <w:rPr>
          <w:rFonts w:hint="eastAsia" w:ascii="楷体" w:hAnsi="楷体" w:eastAsia="楷体" w:cs="楷体"/>
          <w:b/>
          <w:bCs/>
          <w:snapToGrid/>
          <w:kern w:val="2"/>
          <w:sz w:val="32"/>
          <w:szCs w:val="32"/>
        </w:rPr>
        <w:t>（三）加强总结报送。</w:t>
      </w:r>
      <w:r>
        <w:rPr>
          <w:rFonts w:hint="eastAsia" w:ascii="仿宋_GB2312" w:hAnsi="仿宋_GB2312" w:eastAsia="仿宋_GB2312" w:cs="仿宋_GB2312"/>
          <w:snapToGrid/>
          <w:kern w:val="2"/>
          <w:sz w:val="32"/>
          <w:szCs w:val="32"/>
        </w:rPr>
        <w:t>各地要实行清单化管理，建立工作台账，及时报送有关数据尤其是重大事故隐患情况。市局定期调度掌握各地各部门专项排查整治进展情况（调度表附后），及时协调解决存在的突出问题。请各地于每周五将调度表报市应急局，有关工作落实情况分别于2023年8月10日、2023年12月10日前报市应急局。</w:t>
      </w:r>
    </w:p>
    <w:p>
      <w:pPr>
        <w:pStyle w:val="3"/>
        <w:spacing w:before="0" w:after="0" w:line="560" w:lineRule="exact"/>
        <w:ind w:left="1596" w:leftChars="760" w:firstLine="0" w:firstLineChars="0"/>
        <w:rPr>
          <w:rFonts w:hint="eastAsia" w:ascii="仿宋_GB2312" w:hAnsi="仿宋_GB2312" w:eastAsia="仿宋_GB2312" w:cs="仿宋_GB2312"/>
          <w:b w:val="0"/>
          <w:bCs w:val="0"/>
          <w:snapToGrid/>
          <w:kern w:val="2"/>
          <w:lang w:val="en-US" w:eastAsia="zh-CN"/>
        </w:rPr>
      </w:pPr>
      <w:r>
        <w:rPr>
          <w:rFonts w:hint="eastAsia" w:ascii="仿宋_GB2312" w:hAnsi="仿宋_GB2312" w:eastAsia="仿宋_GB2312" w:cs="仿宋_GB2312"/>
          <w:b w:val="0"/>
          <w:bCs w:val="0"/>
          <w:snapToGrid/>
          <w:kern w:val="2"/>
        </w:rPr>
        <w:t>附件：1</w:t>
      </w:r>
      <w:r>
        <w:rPr>
          <w:rFonts w:hint="eastAsia" w:ascii="仿宋_GB2312" w:hAnsi="仿宋_GB2312" w:eastAsia="仿宋_GB2312" w:cs="仿宋_GB2312"/>
          <w:b w:val="0"/>
          <w:bCs w:val="0"/>
          <w:snapToGrid/>
          <w:kern w:val="2"/>
          <w:lang w:val="en-US" w:eastAsia="zh-CN"/>
        </w:rPr>
        <w:t>.危险化学品重大隐患判定标准；</w:t>
      </w:r>
    </w:p>
    <w:p>
      <w:pPr>
        <w:pStyle w:val="3"/>
        <w:spacing w:before="0" w:after="0" w:line="560" w:lineRule="exact"/>
        <w:ind w:left="1596" w:leftChars="760" w:firstLine="960" w:firstLineChars="300"/>
        <w:rPr>
          <w:rFonts w:hint="default" w:ascii="仿宋_GB2312" w:hAnsi="仿宋_GB2312" w:eastAsia="仿宋_GB2312" w:cs="仿宋_GB2312"/>
          <w:b w:val="0"/>
          <w:bCs w:val="0"/>
          <w:snapToGrid/>
          <w:kern w:val="2"/>
          <w:lang w:val="en-US" w:eastAsia="zh-CN"/>
        </w:rPr>
      </w:pPr>
      <w:r>
        <w:rPr>
          <w:rFonts w:hint="eastAsia" w:ascii="仿宋_GB2312" w:hAnsi="仿宋_GB2312" w:eastAsia="仿宋_GB2312" w:cs="仿宋_GB2312"/>
          <w:b w:val="0"/>
          <w:bCs w:val="0"/>
          <w:snapToGrid/>
          <w:kern w:val="2"/>
          <w:lang w:val="en-US" w:eastAsia="zh-CN"/>
        </w:rPr>
        <w:t>2.烟花</w:t>
      </w:r>
      <w:bookmarkStart w:id="0" w:name="_GoBack"/>
      <w:bookmarkEnd w:id="0"/>
      <w:r>
        <w:rPr>
          <w:rFonts w:hint="eastAsia" w:ascii="仿宋_GB2312" w:hAnsi="仿宋_GB2312" w:eastAsia="仿宋_GB2312" w:cs="仿宋_GB2312"/>
          <w:b w:val="0"/>
          <w:bCs w:val="0"/>
          <w:snapToGrid/>
          <w:kern w:val="2"/>
          <w:lang w:val="en-US" w:eastAsia="zh-CN"/>
        </w:rPr>
        <w:t>爆竹重大隐患判定标准；</w:t>
      </w:r>
    </w:p>
    <w:p>
      <w:pPr>
        <w:pStyle w:val="3"/>
        <w:spacing w:before="0" w:after="0" w:line="560" w:lineRule="exact"/>
        <w:ind w:left="2874" w:leftChars="1216" w:hanging="320" w:hangingChars="100"/>
        <w:rPr>
          <w:rFonts w:hint="default" w:ascii="仿宋_GB2312" w:hAnsi="仿宋_GB2312" w:eastAsia="仿宋_GB2312" w:cs="仿宋_GB2312"/>
          <w:b w:val="0"/>
          <w:bCs w:val="0"/>
          <w:snapToGrid/>
          <w:kern w:val="2"/>
          <w:lang w:val="en-US" w:eastAsia="zh-CN"/>
        </w:rPr>
      </w:pPr>
      <w:r>
        <w:rPr>
          <w:rFonts w:hint="eastAsia" w:ascii="仿宋_GB2312" w:hAnsi="仿宋_GB2312" w:eastAsia="仿宋_GB2312" w:cs="仿宋_GB2312"/>
          <w:b w:val="0"/>
          <w:bCs w:val="0"/>
          <w:snapToGrid/>
          <w:kern w:val="2"/>
          <w:lang w:val="en-US" w:eastAsia="zh-CN"/>
        </w:rPr>
        <w:t>3.</w:t>
      </w:r>
      <w:r>
        <w:rPr>
          <w:rFonts w:hint="eastAsia" w:ascii="仿宋_GB2312" w:hAnsi="仿宋_GB2312" w:eastAsia="仿宋_GB2312" w:cs="仿宋_GB2312"/>
          <w:b w:val="0"/>
          <w:bCs w:val="0"/>
          <w:snapToGrid/>
          <w:kern w:val="2"/>
        </w:rPr>
        <w:t>池州市危险化学品烟花爆竹重大事故隐患专项排查整治2023行动暨夏季安全生产大排查进展情况调度表</w:t>
      </w:r>
      <w:r>
        <w:rPr>
          <w:rFonts w:hint="eastAsia" w:ascii="仿宋_GB2312" w:hAnsi="仿宋_GB2312" w:eastAsia="仿宋_GB2312" w:cs="仿宋_GB2312"/>
          <w:b w:val="0"/>
          <w:bCs w:val="0"/>
          <w:snapToGrid/>
          <w:kern w:val="2"/>
          <w:lang w:eastAsia="zh-CN"/>
        </w:rPr>
        <w:t>。</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Arial">
    <w:panose1 w:val="020B0604020202020204"/>
    <w:charset w:val="00"/>
    <w:family w:val="swiss"/>
    <w:pitch w:val="default"/>
    <w:sig w:usb0="E0002AFF" w:usb1="C0007843" w:usb2="00000009" w:usb3="00000000" w:csb0="400001FF" w:csb1="FFFF0000"/>
  </w:font>
  <w:font w:name="Cambria">
    <w:panose1 w:val="02040503050406030204"/>
    <w:charset w:val="00"/>
    <w:family w:val="roman"/>
    <w:pitch w:val="default"/>
    <w:sig w:usb0="E00002FF" w:usb1="400004FF" w:usb2="00000000" w:usb3="00000000" w:csb0="2000019F" w:csb1="0000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方正仿宋_GBK">
    <w:panose1 w:val="03000509000000000000"/>
    <w:charset w:val="86"/>
    <w:family w:val="script"/>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FD42CA4"/>
    <w:rsid w:val="002F7F13"/>
    <w:rsid w:val="004C5ACF"/>
    <w:rsid w:val="004F151A"/>
    <w:rsid w:val="006472CE"/>
    <w:rsid w:val="00833E63"/>
    <w:rsid w:val="00854279"/>
    <w:rsid w:val="00AB7754"/>
    <w:rsid w:val="00AC0AC3"/>
    <w:rsid w:val="00E3504D"/>
    <w:rsid w:val="1FD42CA4"/>
    <w:rsid w:val="23D85A18"/>
    <w:rsid w:val="2A291165"/>
    <w:rsid w:val="53810803"/>
    <w:rsid w:val="60370F0A"/>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9" w:semiHidden="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semiHidden/>
    <w:qFormat/>
    <w:uiPriority w:val="0"/>
    <w:pPr>
      <w:kinsoku w:val="0"/>
      <w:autoSpaceDE w:val="0"/>
      <w:autoSpaceDN w:val="0"/>
      <w:adjustRightInd w:val="0"/>
      <w:snapToGrid w:val="0"/>
      <w:textAlignment w:val="baseline"/>
    </w:pPr>
    <w:rPr>
      <w:rFonts w:ascii="Arial" w:hAnsi="Arial" w:eastAsia="Arial" w:cs="Arial"/>
      <w:snapToGrid w:val="0"/>
      <w:color w:val="000000"/>
      <w:sz w:val="21"/>
      <w:szCs w:val="21"/>
      <w:lang w:val="en-US" w:eastAsia="zh-CN" w:bidi="ar-SA"/>
    </w:rPr>
  </w:style>
  <w:style w:type="paragraph" w:styleId="3">
    <w:name w:val="heading 2"/>
    <w:basedOn w:val="1"/>
    <w:next w:val="1"/>
    <w:unhideWhenUsed/>
    <w:qFormat/>
    <w:uiPriority w:val="9"/>
    <w:pPr>
      <w:keepNext/>
      <w:keepLines/>
      <w:spacing w:before="260" w:after="260" w:line="416" w:lineRule="auto"/>
      <w:outlineLvl w:val="1"/>
    </w:pPr>
    <w:rPr>
      <w:rFonts w:ascii="Cambria" w:hAnsi="Cambria" w:eastAsia="宋体" w:cs="Times New Roman"/>
      <w:b/>
      <w:bCs/>
      <w:sz w:val="32"/>
      <w:szCs w:val="32"/>
    </w:rPr>
  </w:style>
  <w:style w:type="paragraph" w:styleId="2">
    <w:name w:val="heading 4"/>
    <w:basedOn w:val="1"/>
    <w:next w:val="1"/>
    <w:qFormat/>
    <w:uiPriority w:val="0"/>
    <w:pPr>
      <w:keepNext/>
      <w:keepLines/>
      <w:spacing w:before="280" w:after="290" w:line="376" w:lineRule="auto"/>
      <w:outlineLvl w:val="3"/>
    </w:pPr>
    <w:rPr>
      <w:rFonts w:eastAsia="黑体" w:cs="Times New Roman"/>
      <w:b/>
      <w:bCs/>
      <w:sz w:val="28"/>
      <w:szCs w:val="28"/>
    </w:rPr>
  </w:style>
  <w:style w:type="character" w:default="1" w:styleId="7">
    <w:name w:val="Default Paragraph Font"/>
    <w:semiHidden/>
    <w:unhideWhenUsed/>
    <w:uiPriority w:val="1"/>
  </w:style>
  <w:style w:type="table" w:default="1" w:styleId="8">
    <w:name w:val="Normal Table"/>
    <w:semiHidden/>
    <w:unhideWhenUsed/>
    <w:qFormat/>
    <w:uiPriority w:val="99"/>
    <w:tblPr>
      <w:tblLayout w:type="fixed"/>
      <w:tblCellMar>
        <w:top w:w="0" w:type="dxa"/>
        <w:left w:w="108" w:type="dxa"/>
        <w:bottom w:w="0" w:type="dxa"/>
        <w:right w:w="108" w:type="dxa"/>
      </w:tblCellMar>
    </w:tblPr>
  </w:style>
  <w:style w:type="paragraph" w:styleId="4">
    <w:name w:val="footer"/>
    <w:basedOn w:val="1"/>
    <w:link w:val="10"/>
    <w:qFormat/>
    <w:uiPriority w:val="0"/>
    <w:pPr>
      <w:tabs>
        <w:tab w:val="center" w:pos="4153"/>
        <w:tab w:val="right" w:pos="8306"/>
      </w:tabs>
    </w:pPr>
    <w:rPr>
      <w:sz w:val="18"/>
      <w:szCs w:val="18"/>
    </w:rPr>
  </w:style>
  <w:style w:type="paragraph" w:styleId="5">
    <w:name w:val="header"/>
    <w:basedOn w:val="1"/>
    <w:link w:val="9"/>
    <w:uiPriority w:val="0"/>
    <w:pPr>
      <w:pBdr>
        <w:bottom w:val="single" w:color="auto" w:sz="6" w:space="1"/>
      </w:pBdr>
      <w:tabs>
        <w:tab w:val="center" w:pos="4153"/>
        <w:tab w:val="right" w:pos="8306"/>
      </w:tabs>
      <w:jc w:val="center"/>
    </w:pPr>
    <w:rPr>
      <w:sz w:val="18"/>
      <w:szCs w:val="18"/>
    </w:rPr>
  </w:style>
  <w:style w:type="paragraph" w:styleId="6">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ascii="宋体" w:hAnsi="宋体"/>
      <w:sz w:val="24"/>
    </w:rPr>
  </w:style>
  <w:style w:type="character" w:customStyle="1" w:styleId="9">
    <w:name w:val="页眉 Char"/>
    <w:basedOn w:val="7"/>
    <w:link w:val="5"/>
    <w:qFormat/>
    <w:uiPriority w:val="0"/>
    <w:rPr>
      <w:rFonts w:ascii="Arial" w:hAnsi="Arial" w:eastAsia="Arial" w:cs="Arial"/>
      <w:snapToGrid w:val="0"/>
      <w:color w:val="000000"/>
      <w:sz w:val="18"/>
      <w:szCs w:val="18"/>
    </w:rPr>
  </w:style>
  <w:style w:type="character" w:customStyle="1" w:styleId="10">
    <w:name w:val="页脚 Char"/>
    <w:basedOn w:val="7"/>
    <w:link w:val="4"/>
    <w:qFormat/>
    <w:uiPriority w:val="0"/>
    <w:rPr>
      <w:rFonts w:ascii="Arial" w:hAnsi="Arial" w:eastAsia="Arial" w:cs="Arial"/>
      <w:snapToGrid w:val="0"/>
      <w:color w:val="000000"/>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8</Pages>
  <Words>604</Words>
  <Characters>3447</Characters>
  <Lines>28</Lines>
  <Paragraphs>8</Paragraphs>
  <TotalTime>0</TotalTime>
  <ScaleCrop>false</ScaleCrop>
  <LinksUpToDate>false</LinksUpToDate>
  <CharactersWithSpaces>4043</CharactersWithSpaces>
  <Application>WPS Office_10.8.2.6990_F1E327BC-269C-435d-A152-05C5408002CA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2023-05-18T01:24:00Z</dcterms:created>
  <dc:creator>姚佩英</dc:creator>
  <cp:lastModifiedBy>姚佩英</cp:lastModifiedBy>
  <cp:lastPrinted>2023-05-19T01:26:14Z</cp:lastPrinted>
  <dcterms:modified xsi:type="dcterms:W3CDTF">2023-05-19T06:19:24Z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2052-10.8.2.6990</vt:lpwstr>
  </property>
</Properties>
</file>