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BB4C10">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小标宋_GBK" w:hAnsi="Times New Roman" w:eastAsia="方正小标宋_GBK"/>
          <w:sz w:val="44"/>
          <w:szCs w:val="44"/>
        </w:rPr>
      </w:pPr>
    </w:p>
    <w:p w14:paraId="49D57BB6">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bCs/>
          <w:kern w:val="0"/>
          <w:sz w:val="44"/>
          <w:szCs w:val="44"/>
        </w:rPr>
      </w:pPr>
      <w:r>
        <w:rPr>
          <w:rFonts w:hint="eastAsia" w:ascii="方正小标宋_GBK" w:hAnsi="方正小标宋_GBK" w:eastAsia="方正小标宋_GBK" w:cs="方正小标宋_GBK"/>
          <w:sz w:val="44"/>
          <w:szCs w:val="44"/>
        </w:rPr>
        <w:t>关于印发《</w:t>
      </w:r>
      <w:r>
        <w:rPr>
          <w:rFonts w:hint="eastAsia" w:ascii="方正小标宋_GBK" w:hAnsi="方正小标宋_GBK" w:eastAsia="方正小标宋_GBK" w:cs="方正小标宋_GBK"/>
          <w:bCs/>
          <w:kern w:val="0"/>
          <w:sz w:val="44"/>
          <w:szCs w:val="44"/>
        </w:rPr>
        <w:t>池州市应急管理部门安全生产</w:t>
      </w:r>
    </w:p>
    <w:p w14:paraId="33FD646E">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bCs/>
          <w:kern w:val="0"/>
          <w:sz w:val="44"/>
          <w:szCs w:val="44"/>
        </w:rPr>
        <w:t>领域轻微违法行为依法不予行政处罚清单</w:t>
      </w:r>
      <w:r>
        <w:rPr>
          <w:rFonts w:hint="eastAsia" w:ascii="方正小标宋_GBK" w:hAnsi="方正小标宋_GBK" w:eastAsia="方正小标宋_GBK" w:cs="方正小标宋_GBK"/>
          <w:sz w:val="44"/>
          <w:szCs w:val="44"/>
        </w:rPr>
        <w:t>》的通知</w:t>
      </w:r>
    </w:p>
    <w:p w14:paraId="4F8C3C8F">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池应急办〔202</w:t>
      </w:r>
      <w:r>
        <w:rPr>
          <w:rFonts w:hint="eastAsia" w:ascii="Times New Roman" w:hAnsi="Times New Roman" w:eastAsia="方正仿宋_GBK" w:cs="Times New Roman"/>
          <w:sz w:val="32"/>
          <w:szCs w:val="32"/>
          <w:lang w:val="en-US" w:eastAsia="zh-CN"/>
        </w:rPr>
        <w:t>4</w:t>
      </w:r>
      <w:bookmarkStart w:id="0" w:name="_GoBack"/>
      <w:bookmarkEnd w:id="0"/>
      <w:r>
        <w:rPr>
          <w:rFonts w:hint="default" w:ascii="Times New Roman" w:hAnsi="Times New Roman" w:eastAsia="方正仿宋_GBK" w:cs="Times New Roman"/>
          <w:sz w:val="32"/>
          <w:szCs w:val="32"/>
        </w:rPr>
        <w:t>〕109号</w:t>
      </w:r>
    </w:p>
    <w:p w14:paraId="7BD2ABCD">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 w:cs="Times New Roman"/>
          <w:sz w:val="32"/>
          <w:szCs w:val="32"/>
        </w:rPr>
      </w:pPr>
    </w:p>
    <w:p w14:paraId="62C5C689">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各县区、江南新兴产业集中区、九华山风景区、开发区应急管理局，局机关各科室：</w:t>
      </w:r>
    </w:p>
    <w:p w14:paraId="46F58E58">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现将《池州市应急管理部门安全生产领域轻微违法行为依法不予行政处罚清单》印发给你们，并将《安徽省应急管理厅关于印发&lt;安徽省应急管理部门安全生产轻微违法行为依法不予行政处罚清单&gt;的通知》随文转发给你们，请一并贯彻执行。</w:t>
      </w:r>
    </w:p>
    <w:p w14:paraId="569EBF88">
      <w:pPr>
        <w:keepNext w:val="0"/>
        <w:keepLines w:val="0"/>
        <w:pageBreakBefore w:val="0"/>
        <w:kinsoku/>
        <w:wordWrap/>
        <w:overflowPunct/>
        <w:topLinePunct w:val="0"/>
        <w:autoSpaceDE/>
        <w:autoSpaceDN/>
        <w:bidi w:val="0"/>
        <w:adjustRightInd/>
        <w:snapToGrid/>
        <w:spacing w:line="590" w:lineRule="exact"/>
        <w:ind w:left="1598" w:leftChars="304" w:hanging="960" w:hangingChars="3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p>
    <w:p w14:paraId="2559826E">
      <w:pPr>
        <w:keepNext w:val="0"/>
        <w:keepLines w:val="0"/>
        <w:pageBreakBefore w:val="0"/>
        <w:kinsoku/>
        <w:wordWrap/>
        <w:overflowPunct/>
        <w:topLinePunct w:val="0"/>
        <w:autoSpaceDE/>
        <w:autoSpaceDN/>
        <w:bidi w:val="0"/>
        <w:adjustRightInd/>
        <w:snapToGrid/>
        <w:spacing w:line="590" w:lineRule="exact"/>
        <w:ind w:left="1598" w:leftChars="304" w:hanging="960" w:hangingChars="3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附件：1.池州市安全生产轻微违法行为依法不予行政处罚清单</w:t>
      </w:r>
    </w:p>
    <w:p w14:paraId="1A297B81">
      <w:pPr>
        <w:keepNext w:val="0"/>
        <w:keepLines w:val="0"/>
        <w:pageBreakBefore w:val="0"/>
        <w:kinsoku/>
        <w:wordWrap/>
        <w:overflowPunct/>
        <w:topLinePunct w:val="0"/>
        <w:autoSpaceDE/>
        <w:autoSpaceDN/>
        <w:bidi w:val="0"/>
        <w:adjustRightInd/>
        <w:snapToGrid/>
        <w:spacing w:line="590" w:lineRule="exact"/>
        <w:ind w:left="1598" w:leftChars="304" w:hanging="960" w:hangingChars="3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 xml:space="preserve">      2.安徽省应急管理厅关于印发&lt;安徽省应急管理部门安全生产轻微违法行为依法不予行政处罚清单&gt;的通知</w:t>
      </w:r>
    </w:p>
    <w:p w14:paraId="6165E1B7">
      <w:pPr>
        <w:keepNext w:val="0"/>
        <w:keepLines w:val="0"/>
        <w:pageBreakBefore w:val="0"/>
        <w:kinsoku/>
        <w:wordWrap/>
        <w:overflowPunct/>
        <w:topLinePunct w:val="0"/>
        <w:autoSpaceDE/>
        <w:autoSpaceDN/>
        <w:bidi w:val="0"/>
        <w:adjustRightInd/>
        <w:snapToGrid/>
        <w:spacing w:line="590" w:lineRule="exact"/>
        <w:ind w:right="960"/>
        <w:jc w:val="right"/>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p>
    <w:p w14:paraId="2B06D7CC">
      <w:pPr>
        <w:keepNext w:val="0"/>
        <w:keepLines w:val="0"/>
        <w:pageBreakBefore w:val="0"/>
        <w:widowControl w:val="0"/>
        <w:kinsoku/>
        <w:wordWrap/>
        <w:overflowPunct/>
        <w:topLinePunct w:val="0"/>
        <w:autoSpaceDE/>
        <w:autoSpaceDN/>
        <w:bidi w:val="0"/>
        <w:adjustRightInd/>
        <w:snapToGrid/>
        <w:spacing w:line="590" w:lineRule="exact"/>
        <w:ind w:right="420" w:rightChars="200"/>
        <w:jc w:val="left"/>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p>
    <w:p w14:paraId="6EC9A213">
      <w:pPr>
        <w:keepNext w:val="0"/>
        <w:keepLines w:val="0"/>
        <w:pageBreakBefore w:val="0"/>
        <w:widowControl w:val="0"/>
        <w:kinsoku/>
        <w:wordWrap/>
        <w:overflowPunct/>
        <w:topLinePunct w:val="0"/>
        <w:autoSpaceDE/>
        <w:autoSpaceDN/>
        <w:bidi w:val="0"/>
        <w:adjustRightInd/>
        <w:snapToGrid/>
        <w:spacing w:line="590" w:lineRule="exact"/>
        <w:ind w:right="840" w:rightChars="400"/>
        <w:jc w:val="right"/>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池州市应急管理局</w:t>
      </w:r>
    </w:p>
    <w:p w14:paraId="04DD3DEB">
      <w:pPr>
        <w:keepNext w:val="0"/>
        <w:keepLines w:val="0"/>
        <w:pageBreakBefore w:val="0"/>
        <w:widowControl w:val="0"/>
        <w:kinsoku/>
        <w:wordWrap/>
        <w:overflowPunct/>
        <w:topLinePunct w:val="0"/>
        <w:autoSpaceDE/>
        <w:autoSpaceDN/>
        <w:bidi w:val="0"/>
        <w:adjustRightInd/>
        <w:snapToGrid/>
        <w:spacing w:line="590" w:lineRule="exact"/>
        <w:ind w:right="840" w:rightChars="400"/>
        <w:jc w:val="right"/>
        <w:textAlignment w:val="auto"/>
        <w:rPr>
          <w:rFonts w:hint="default" w:ascii="Times New Roman" w:hAnsi="Times New Roman" w:eastAsia="仿宋_GB2312" w:cs="Times New Roman"/>
          <w:sz w:val="32"/>
          <w:szCs w:val="32"/>
        </w:rPr>
      </w:pPr>
      <w:r>
        <w:rPr>
          <w:rFonts w:hint="default" w:ascii="Times New Roman" w:hAnsi="Times New Roman" w:eastAsia="方正仿宋_GBK" w:cs="Times New Roman"/>
          <w:color w:val="000000" w:themeColor="text1"/>
          <w:sz w:val="32"/>
          <w:szCs w:val="32"/>
          <w14:textFill>
            <w14:solidFill>
              <w14:schemeClr w14:val="tx1"/>
            </w14:solidFill>
          </w14:textFill>
        </w:rPr>
        <w:t>2024年5月20日</w:t>
      </w:r>
    </w:p>
    <w:p w14:paraId="782FB5F3">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附件1</w:t>
      </w:r>
    </w:p>
    <w:p w14:paraId="5CA66681">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p>
    <w:p w14:paraId="7FD33E97">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池州市应急管理部门安全生产领域轻微</w:t>
      </w:r>
    </w:p>
    <w:p w14:paraId="4BBA8A2E">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违法行为依法不予行政处罚清单</w:t>
      </w:r>
    </w:p>
    <w:p w14:paraId="0512FFB0">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仿宋_GB2312" w:cs="Times New Roman"/>
          <w:sz w:val="32"/>
          <w:szCs w:val="32"/>
        </w:rPr>
      </w:pPr>
    </w:p>
    <w:p w14:paraId="118D0818">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sz w:val="32"/>
          <w:szCs w:val="32"/>
        </w:rPr>
        <w:t>为深入贯彻落实《池州市贯彻落实&lt;法治政府建设实施纲要（202</w:t>
      </w:r>
      <w:r>
        <w:rPr>
          <w:rFonts w:hint="default" w:ascii="Times New Roman" w:hAnsi="Times New Roman" w:eastAsia="方正仿宋_GBK" w:cs="Times New Roman"/>
          <w:color w:val="000000" w:themeColor="text1"/>
          <w:sz w:val="32"/>
          <w:szCs w:val="32"/>
          <w14:textFill>
            <w14:solidFill>
              <w14:schemeClr w14:val="tx1"/>
            </w14:solidFill>
          </w14:textFill>
        </w:rPr>
        <w:t>1—2025年）&gt;实施方案》，统筹发展和安全，在坚守安全发展底线的基础上推动包容审慎监管，规范开展应急管理部门安全生产领域轻微违法行为依法不予行政处罚工作，根据《中华人民共和国行政处罚法》《优化营商环境条例》等法律、法规、规章的规定，以及《池州市全面推行“轻微免罚”工作实施方案》的要求，制定本清单。</w:t>
      </w:r>
    </w:p>
    <w:p w14:paraId="27329400">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黑体" w:cs="Times New Roman"/>
          <w:sz w:val="32"/>
          <w:szCs w:val="32"/>
        </w:rPr>
      </w:pPr>
      <w:r>
        <w:rPr>
          <w:rFonts w:hint="default" w:ascii="Times New Roman" w:hAnsi="Times New Roman" w:eastAsia="方正黑体_GBK" w:cs="Times New Roman"/>
          <w:sz w:val="32"/>
          <w:szCs w:val="32"/>
        </w:rPr>
        <w:t>一、适用范围</w:t>
      </w:r>
    </w:p>
    <w:p w14:paraId="124DFA45">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《清单》适用于全市范围内，应急管理部门在法定监管职责范围内对安全生产违法行为的处理。</w:t>
      </w:r>
    </w:p>
    <w:p w14:paraId="4216C1CE">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二、适用条件</w:t>
      </w:r>
    </w:p>
    <w:p w14:paraId="4C6B66BF">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适用《清单》不予行政处罚的当事人，应当同时满足下列基本条件：</w:t>
      </w:r>
    </w:p>
    <w:p w14:paraId="4746E74D">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（一）近三年内未发生生产安全亡人事故，且未发生有较大社会影响事故；</w:t>
      </w:r>
    </w:p>
    <w:p w14:paraId="3777BC78">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（二）近一年内未被市、县（区）应急管理部门（或委托执法机关）实施行政处罚；</w:t>
      </w:r>
    </w:p>
    <w:p w14:paraId="6B55642B">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（三）未被纳入安全生产严重失信联合惩戒名单。</w:t>
      </w:r>
    </w:p>
    <w:p w14:paraId="59DC4F97">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有下列情形之一的，不适用轻微违法行为不予行政处罚：</w:t>
      </w:r>
    </w:p>
    <w:p w14:paraId="62F57746">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（一）涉及重大生产安全事故隐患的；</w:t>
      </w:r>
    </w:p>
    <w:p w14:paraId="17E931CD">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（二）经安全专业技术人员或者具有相应资质的专业机构认定有可能造成严重后果的；</w:t>
      </w:r>
    </w:p>
    <w:p w14:paraId="4789BBA8">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（三）有法定从重情节的。</w:t>
      </w:r>
    </w:p>
    <w:p w14:paraId="23084E8E">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三、相关用语含义</w:t>
      </w:r>
    </w:p>
    <w:p w14:paraId="67DA702A">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初次违法，是指当事人近两年内第一次实施《清单》所列安全生产违法行为。行政执法人员可以通过询问当事人，查询应急管理行政执法系统、信用中国公示系统、国家企业信用信息公示系统相关记录，以及应急管理系统内部核实等方式进行确认。</w:t>
      </w:r>
    </w:p>
    <w:p w14:paraId="1C5A8AEF">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危害后果轻微，是指违法行为危害程度较轻，危害范围较小，未造成明显危害后果和社会影响，或已主动消除、减轻危害后果等情形。</w:t>
      </w:r>
    </w:p>
    <w:p w14:paraId="6AABB3B0">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及时改正，是指在应急管理部门发现违法行为线索之前主动完成改正的；或在应急管理部门发现违法行为线索之后，责令改正之前主动完成改正的；或在应急管理部门责令改正后按要求完成改正的。</w:t>
      </w:r>
    </w:p>
    <w:p w14:paraId="65D95E62">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四、相关规定</w:t>
      </w:r>
    </w:p>
    <w:p w14:paraId="3237D4C1">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（一）依据《清单》不予行政处罚的，行政执法人员应当按照相关程序要求，做好立案、调查取证、责令改正、复查等工作，依法作出不予行政处罚决定，并做好结案归档。</w:t>
      </w:r>
    </w:p>
    <w:p w14:paraId="58153606">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（二）《清单》未列明的轻微违法行为，符合《中华人民共和国行政处罚法》等法律、法规、规章规定的不予行政处罚条件的，应当经集体讨论决定，依法不予行政处罚。</w:t>
      </w:r>
    </w:p>
    <w:p w14:paraId="49155968">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（三）对适用不予行政处罚的轻微违法行为，应急管理部门应当坚持处罚与教育相结合的原则，通过指导服务、批评教育、约谈警示、普法宣传等措施，教育引导生产经营单位依法合规开展生产经营活动。</w:t>
      </w:r>
    </w:p>
    <w:p w14:paraId="4675CAB7">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（四）市、县（区）应急管理部门及其综合行政执法队伍（含委托执法机关）加强执法业务协同和执法信息共享，保障本清单实施。《清单》将根据实施情况和法律法规的变化进行动态调整。</w:t>
      </w:r>
    </w:p>
    <w:p w14:paraId="50E6525F">
      <w:pPr>
        <w:keepNext w:val="0"/>
        <w:keepLines w:val="0"/>
        <w:pageBreakBefore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default" w:ascii="Times New Roman" w:hAnsi="Times New Roman" w:eastAsia="方正仿宋_GBK" w:cs="Times New Roman"/>
          <w:sz w:val="32"/>
          <w:szCs w:val="32"/>
        </w:rPr>
        <w:t>本《清单》自印发之日起施行，有效期3年。</w:t>
      </w:r>
    </w:p>
    <w:p w14:paraId="1EDCC98D">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池州市应急管理部门安全生产领域轻微违法行为</w:t>
      </w:r>
    </w:p>
    <w:p w14:paraId="191AF272">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依法不予行政处罚事项清单</w:t>
      </w:r>
    </w:p>
    <w:tbl>
      <w:tblPr>
        <w:tblStyle w:val="7"/>
        <w:tblpPr w:leftFromText="180" w:rightFromText="180" w:vertAnchor="text" w:horzAnchor="page" w:tblpXSpec="center" w:tblpY="518"/>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3378"/>
        <w:gridCol w:w="4335"/>
        <w:gridCol w:w="5501"/>
      </w:tblGrid>
      <w:tr w14:paraId="5A058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60" w:type="dxa"/>
            <w:vAlign w:val="center"/>
          </w:tcPr>
          <w:p w14:paraId="254565A7">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color w:val="000000" w:themeColor="text1"/>
                <w:sz w:val="32"/>
                <w:szCs w:val="32"/>
                <w14:textFill>
                  <w14:solidFill>
                    <w14:schemeClr w14:val="tx1"/>
                  </w14:solidFill>
                </w14:textFill>
              </w:rPr>
            </w:pPr>
            <w:r>
              <w:rPr>
                <w:rFonts w:hint="default" w:ascii="Times New Roman" w:hAnsi="Times New Roman" w:eastAsia="方正黑体_GBK" w:cs="Times New Roman"/>
                <w:color w:val="000000" w:themeColor="text1"/>
                <w:sz w:val="32"/>
                <w:szCs w:val="32"/>
                <w14:textFill>
                  <w14:solidFill>
                    <w14:schemeClr w14:val="tx1"/>
                  </w14:solidFill>
                </w14:textFill>
              </w:rPr>
              <w:t>序号</w:t>
            </w:r>
          </w:p>
        </w:tc>
        <w:tc>
          <w:tcPr>
            <w:tcW w:w="3378" w:type="dxa"/>
            <w:vAlign w:val="center"/>
          </w:tcPr>
          <w:p w14:paraId="43608A02">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color w:val="000000" w:themeColor="text1"/>
                <w:sz w:val="32"/>
                <w:szCs w:val="32"/>
                <w14:textFill>
                  <w14:solidFill>
                    <w14:schemeClr w14:val="tx1"/>
                  </w14:solidFill>
                </w14:textFill>
              </w:rPr>
            </w:pPr>
            <w:r>
              <w:rPr>
                <w:rFonts w:hint="default" w:ascii="Times New Roman" w:hAnsi="Times New Roman" w:eastAsia="方正黑体_GBK" w:cs="Times New Roman"/>
                <w:color w:val="000000" w:themeColor="text1"/>
                <w:sz w:val="32"/>
                <w:szCs w:val="32"/>
                <w14:textFill>
                  <w14:solidFill>
                    <w14:schemeClr w14:val="tx1"/>
                  </w14:solidFill>
                </w14:textFill>
              </w:rPr>
              <w:t>违法行为种类</w:t>
            </w:r>
          </w:p>
        </w:tc>
        <w:tc>
          <w:tcPr>
            <w:tcW w:w="4335" w:type="dxa"/>
            <w:vAlign w:val="center"/>
          </w:tcPr>
          <w:p w14:paraId="5D289DA8">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color w:val="000000" w:themeColor="text1"/>
                <w:sz w:val="32"/>
                <w:szCs w:val="32"/>
                <w14:textFill>
                  <w14:solidFill>
                    <w14:schemeClr w14:val="tx1"/>
                  </w14:solidFill>
                </w14:textFill>
              </w:rPr>
            </w:pPr>
            <w:r>
              <w:rPr>
                <w:rFonts w:hint="default" w:ascii="Times New Roman" w:hAnsi="Times New Roman" w:eastAsia="方正黑体_GBK" w:cs="Times New Roman"/>
                <w:color w:val="000000" w:themeColor="text1"/>
                <w:sz w:val="32"/>
                <w:szCs w:val="32"/>
                <w14:textFill>
                  <w14:solidFill>
                    <w14:schemeClr w14:val="tx1"/>
                  </w14:solidFill>
                </w14:textFill>
              </w:rPr>
              <w:t>适用条件</w:t>
            </w:r>
          </w:p>
        </w:tc>
        <w:tc>
          <w:tcPr>
            <w:tcW w:w="5501" w:type="dxa"/>
            <w:vAlign w:val="center"/>
          </w:tcPr>
          <w:p w14:paraId="27789607">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color w:val="000000" w:themeColor="text1"/>
                <w:sz w:val="32"/>
                <w:szCs w:val="32"/>
                <w14:textFill>
                  <w14:solidFill>
                    <w14:schemeClr w14:val="tx1"/>
                  </w14:solidFill>
                </w14:textFill>
              </w:rPr>
            </w:pPr>
            <w:r>
              <w:rPr>
                <w:rFonts w:hint="default" w:ascii="Times New Roman" w:hAnsi="Times New Roman" w:eastAsia="方正黑体_GBK" w:cs="Times New Roman"/>
                <w:color w:val="000000" w:themeColor="text1"/>
                <w:sz w:val="32"/>
                <w:szCs w:val="32"/>
                <w14:textFill>
                  <w14:solidFill>
                    <w14:schemeClr w14:val="tx1"/>
                  </w14:solidFill>
                </w14:textFill>
              </w:rPr>
              <w:t>法律依据</w:t>
            </w:r>
          </w:p>
        </w:tc>
      </w:tr>
      <w:tr w14:paraId="1014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5" w:hRule="atLeast"/>
          <w:jc w:val="center"/>
        </w:trPr>
        <w:tc>
          <w:tcPr>
            <w:tcW w:w="960" w:type="dxa"/>
            <w:vAlign w:val="center"/>
          </w:tcPr>
          <w:p w14:paraId="1F2814C3">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p>
          <w:p w14:paraId="4A1FD4CD">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p>
          <w:p w14:paraId="484788B9">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p>
          <w:p w14:paraId="0E562ECA">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1</w:t>
            </w:r>
          </w:p>
          <w:p w14:paraId="68B7ADD2">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p>
          <w:p w14:paraId="2078E746">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p>
          <w:p w14:paraId="19144092">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p>
        </w:tc>
        <w:tc>
          <w:tcPr>
            <w:tcW w:w="3378" w:type="dxa"/>
            <w:vAlign w:val="center"/>
          </w:tcPr>
          <w:p w14:paraId="776B0001">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生产经营单位未如实记录安全生产教育和培训情况的。</w:t>
            </w:r>
          </w:p>
        </w:tc>
        <w:tc>
          <w:tcPr>
            <w:tcW w:w="4335" w:type="dxa"/>
            <w:vAlign w:val="center"/>
          </w:tcPr>
          <w:p w14:paraId="45455C28">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1.初次违法且危害后果轻微并及时改正；</w:t>
            </w:r>
          </w:p>
          <w:p w14:paraId="036A31E8">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2.有证据证明已按规定开展安全生产教育和培训，但记录内容不规范、简化或有遗漏。</w:t>
            </w:r>
          </w:p>
        </w:tc>
        <w:tc>
          <w:tcPr>
            <w:tcW w:w="5501" w:type="dxa"/>
            <w:vAlign w:val="center"/>
          </w:tcPr>
          <w:p w14:paraId="5F228E22">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bCs/>
                <w:color w:val="000000" w:themeColor="text1"/>
                <w:kern w:val="0"/>
                <w:sz w:val="28"/>
                <w:szCs w:val="28"/>
                <w14:textFill>
                  <w14:solidFill>
                    <w14:schemeClr w14:val="tx1"/>
                  </w14:solidFill>
                </w14:textFill>
              </w:rPr>
            </w:pPr>
            <w:r>
              <w:rPr>
                <w:rFonts w:hint="default" w:ascii="Times New Roman" w:hAnsi="Times New Roman" w:eastAsia="方正仿宋_GBK" w:cs="Times New Roman"/>
                <w:bCs/>
                <w:color w:val="000000" w:themeColor="text1"/>
                <w:kern w:val="0"/>
                <w:sz w:val="28"/>
                <w:szCs w:val="28"/>
                <w14:textFill>
                  <w14:solidFill>
                    <w14:schemeClr w14:val="tx1"/>
                  </w14:solidFill>
                </w14:textFill>
              </w:rPr>
              <w:t>【法律规定】</w:t>
            </w:r>
            <w:r>
              <w:rPr>
                <w:rFonts w:hint="default" w:ascii="Times New Roman" w:hAnsi="Times New Roman" w:eastAsia="方正仿宋_GBK" w:cs="Times New Roman"/>
                <w:color w:val="000000" w:themeColor="text1"/>
                <w:kern w:val="0"/>
                <w:sz w:val="28"/>
                <w:szCs w:val="28"/>
                <w14:textFill>
                  <w14:solidFill>
                    <w14:schemeClr w14:val="tx1"/>
                  </w14:solidFill>
                </w14:textFill>
              </w:rPr>
              <w:t>《中华人民共和国安全生产法》</w:t>
            </w:r>
            <w:r>
              <w:rPr>
                <w:rFonts w:hint="default" w:ascii="Times New Roman" w:hAnsi="Times New Roman" w:eastAsia="方正仿宋_GBK" w:cs="Times New Roman"/>
                <w:bCs/>
                <w:color w:val="000000" w:themeColor="text1"/>
                <w:kern w:val="0"/>
                <w:sz w:val="28"/>
                <w:szCs w:val="28"/>
                <w14:textFill>
                  <w14:solidFill>
                    <w14:schemeClr w14:val="tx1"/>
                  </w14:solidFill>
                </w14:textFill>
              </w:rPr>
              <w:t>第二十八条第四款：</w:t>
            </w:r>
            <w:r>
              <w:rPr>
                <w:rFonts w:hint="default" w:ascii="Times New Roman" w:hAnsi="Times New Roman" w:eastAsia="方正仿宋_GBK" w:cs="Times New Roman"/>
                <w:color w:val="000000" w:themeColor="text1"/>
                <w:kern w:val="0"/>
                <w:sz w:val="28"/>
                <w:szCs w:val="28"/>
                <w14:textFill>
                  <w14:solidFill>
                    <w14:schemeClr w14:val="tx1"/>
                  </w14:solidFill>
                </w14:textFill>
              </w:rPr>
              <w:t>生产经营单位应当建立安全生产教育和培训档案，如实记录安全生产教育和培训的时间、内容、参加人员以及考核结果等情况。 </w:t>
            </w:r>
          </w:p>
          <w:p w14:paraId="5250516D">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bCs/>
                <w:color w:val="000000" w:themeColor="text1"/>
                <w:kern w:val="0"/>
                <w:sz w:val="28"/>
                <w:szCs w:val="28"/>
                <w14:textFill>
                  <w14:solidFill>
                    <w14:schemeClr w14:val="tx1"/>
                  </w14:solidFill>
                </w14:textFill>
              </w:rPr>
              <w:t>【处罚依据】</w:t>
            </w:r>
            <w:r>
              <w:rPr>
                <w:rFonts w:hint="default" w:ascii="Times New Roman" w:hAnsi="Times New Roman" w:eastAsia="方正仿宋_GBK" w:cs="Times New Roman"/>
                <w:color w:val="000000" w:themeColor="text1"/>
                <w:kern w:val="0"/>
                <w:sz w:val="28"/>
                <w:szCs w:val="28"/>
                <w14:textFill>
                  <w14:solidFill>
                    <w14:schemeClr w14:val="tx1"/>
                  </w14:solidFill>
                </w14:textFill>
              </w:rPr>
              <w:t>《中华人民共和国安全生产法》</w:t>
            </w:r>
            <w:r>
              <w:rPr>
                <w:rFonts w:hint="default" w:ascii="Times New Roman" w:hAnsi="Times New Roman" w:eastAsia="方正仿宋_GBK" w:cs="Times New Roman"/>
                <w:bCs/>
                <w:color w:val="000000" w:themeColor="text1"/>
                <w:kern w:val="0"/>
                <w:sz w:val="28"/>
                <w:szCs w:val="28"/>
                <w14:textFill>
                  <w14:solidFill>
                    <w14:schemeClr w14:val="tx1"/>
                  </w14:solidFill>
                </w14:textFill>
              </w:rPr>
              <w:t>第九十七条第四项：</w:t>
            </w:r>
            <w:r>
              <w:rPr>
                <w:rFonts w:hint="default" w:ascii="Times New Roman" w:hAnsi="Times New Roman" w:eastAsia="方正仿宋_GBK" w:cs="Times New Roman"/>
                <w:color w:val="000000" w:themeColor="text1"/>
                <w:kern w:val="0"/>
                <w:sz w:val="28"/>
                <w:szCs w:val="28"/>
                <w14:textFill>
                  <w14:solidFill>
                    <w14:schemeClr w14:val="tx1"/>
                  </w14:solidFill>
                </w14:textFill>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p>
          <w:p w14:paraId="23297C51">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（四）未如实记录安全生产教育和培训情况的；</w:t>
            </w:r>
          </w:p>
        </w:tc>
      </w:tr>
      <w:tr w14:paraId="4CA7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vAlign w:val="center"/>
          </w:tcPr>
          <w:p w14:paraId="0BE40185">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p>
          <w:p w14:paraId="5FFFCBAD">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2</w:t>
            </w:r>
          </w:p>
        </w:tc>
        <w:tc>
          <w:tcPr>
            <w:tcW w:w="3378" w:type="dxa"/>
            <w:vAlign w:val="center"/>
          </w:tcPr>
          <w:p w14:paraId="1861231E">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p>
          <w:p w14:paraId="0A6B8B37">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生产经营单位未将事故隐患排查治理情况如实记录或者未向从业人员通报。</w:t>
            </w:r>
          </w:p>
        </w:tc>
        <w:tc>
          <w:tcPr>
            <w:tcW w:w="4335" w:type="dxa"/>
            <w:vAlign w:val="center"/>
          </w:tcPr>
          <w:p w14:paraId="45FB3068">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p>
          <w:p w14:paraId="2760038C">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p>
          <w:p w14:paraId="2B2BF890">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p>
          <w:p w14:paraId="10D9CC1C">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p>
          <w:p w14:paraId="3023232D">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1.初次违法且危害后果轻微并及时改正；</w:t>
            </w:r>
          </w:p>
          <w:p w14:paraId="2000F5A7">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2.有证据证明已开展事故隐患排查治理工作，但记录内容不规范、简化、有遗漏，或者已如实记录但仅向部分从业人员通报、未向全体从业人员通报。</w:t>
            </w:r>
          </w:p>
        </w:tc>
        <w:tc>
          <w:tcPr>
            <w:tcW w:w="5501" w:type="dxa"/>
            <w:vAlign w:val="center"/>
          </w:tcPr>
          <w:p w14:paraId="2D587D4A">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bCs/>
                <w:color w:val="000000" w:themeColor="text1"/>
                <w:kern w:val="0"/>
                <w:sz w:val="28"/>
                <w:szCs w:val="28"/>
                <w14:textFill>
                  <w14:solidFill>
                    <w14:schemeClr w14:val="tx1"/>
                  </w14:solidFill>
                </w14:textFill>
              </w:rPr>
            </w:pPr>
            <w:r>
              <w:rPr>
                <w:rFonts w:hint="default" w:ascii="Times New Roman" w:hAnsi="Times New Roman" w:eastAsia="方正仿宋_GBK" w:cs="Times New Roman"/>
                <w:bCs/>
                <w:color w:val="000000" w:themeColor="text1"/>
                <w:kern w:val="0"/>
                <w:sz w:val="28"/>
                <w:szCs w:val="28"/>
                <w14:textFill>
                  <w14:solidFill>
                    <w14:schemeClr w14:val="tx1"/>
                  </w14:solidFill>
                </w14:textFill>
              </w:rPr>
              <w:t>【法律规定】</w:t>
            </w:r>
            <w:r>
              <w:rPr>
                <w:rFonts w:hint="default" w:ascii="Times New Roman" w:hAnsi="Times New Roman" w:eastAsia="方正仿宋_GBK" w:cs="Times New Roman"/>
                <w:color w:val="000000" w:themeColor="text1"/>
                <w:kern w:val="0"/>
                <w:sz w:val="28"/>
                <w:szCs w:val="28"/>
                <w14:textFill>
                  <w14:solidFill>
                    <w14:schemeClr w14:val="tx1"/>
                  </w14:solidFill>
                </w14:textFill>
              </w:rPr>
              <w:t>《中华人民共和国安全生产法》</w:t>
            </w:r>
            <w:r>
              <w:rPr>
                <w:rFonts w:hint="default" w:ascii="Times New Roman" w:hAnsi="Times New Roman" w:eastAsia="方正仿宋_GBK" w:cs="Times New Roman"/>
                <w:bCs/>
                <w:color w:val="000000" w:themeColor="text1"/>
                <w:kern w:val="0"/>
                <w:sz w:val="28"/>
                <w:szCs w:val="28"/>
                <w14:textFill>
                  <w14:solidFill>
                    <w14:schemeClr w14:val="tx1"/>
                  </w14:solidFill>
                </w14:textFill>
              </w:rPr>
              <w:t>第四十一条第二款：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p w14:paraId="777D99A6">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bCs/>
                <w:color w:val="000000" w:themeColor="text1"/>
                <w:kern w:val="0"/>
                <w:sz w:val="28"/>
                <w:szCs w:val="28"/>
                <w14:textFill>
                  <w14:solidFill>
                    <w14:schemeClr w14:val="tx1"/>
                  </w14:solidFill>
                </w14:textFill>
              </w:rPr>
              <w:t>【处罚依据】</w:t>
            </w:r>
            <w:r>
              <w:rPr>
                <w:rFonts w:hint="default" w:ascii="Times New Roman" w:hAnsi="Times New Roman" w:eastAsia="方正仿宋_GBK" w:cs="Times New Roman"/>
                <w:color w:val="000000" w:themeColor="text1"/>
                <w:kern w:val="0"/>
                <w:sz w:val="28"/>
                <w:szCs w:val="28"/>
                <w14:textFill>
                  <w14:solidFill>
                    <w14:schemeClr w14:val="tx1"/>
                  </w14:solidFill>
                </w14:textFill>
              </w:rPr>
              <w:t>《中华人民共和国安全生产法》</w:t>
            </w:r>
            <w:r>
              <w:rPr>
                <w:rFonts w:hint="default" w:ascii="Times New Roman" w:hAnsi="Times New Roman" w:eastAsia="方正仿宋_GBK" w:cs="Times New Roman"/>
                <w:bCs/>
                <w:color w:val="000000" w:themeColor="text1"/>
                <w:kern w:val="0"/>
                <w:sz w:val="28"/>
                <w:szCs w:val="28"/>
                <w14:textFill>
                  <w14:solidFill>
                    <w14:schemeClr w14:val="tx1"/>
                  </w14:solidFill>
                </w14:textFill>
              </w:rPr>
              <w:t>第九十七条第五项：</w:t>
            </w:r>
            <w:r>
              <w:rPr>
                <w:rFonts w:hint="default" w:ascii="Times New Roman" w:hAnsi="Times New Roman" w:eastAsia="方正仿宋_GBK" w:cs="Times New Roman"/>
                <w:color w:val="000000" w:themeColor="text1"/>
                <w:kern w:val="0"/>
                <w:sz w:val="28"/>
                <w:szCs w:val="28"/>
                <w14:textFill>
                  <w14:solidFill>
                    <w14:schemeClr w14:val="tx1"/>
                  </w14:solidFill>
                </w14:textFill>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p>
          <w:p w14:paraId="44AFC3F0">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（五）未将事故隐患排查治理情况如实记录或者未向从业人员通报的；</w:t>
            </w:r>
          </w:p>
        </w:tc>
      </w:tr>
      <w:tr w14:paraId="72EA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vAlign w:val="center"/>
          </w:tcPr>
          <w:p w14:paraId="0C19BFC2">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3</w:t>
            </w:r>
          </w:p>
        </w:tc>
        <w:tc>
          <w:tcPr>
            <w:tcW w:w="3378" w:type="dxa"/>
            <w:vAlign w:val="center"/>
          </w:tcPr>
          <w:p w14:paraId="543A8834">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lang w:val="zh-CN"/>
                <w14:textFill>
                  <w14:solidFill>
                    <w14:schemeClr w14:val="tx1"/>
                  </w14:solidFill>
                </w14:textFill>
              </w:rPr>
              <w:t>生产经营单位未按照规定制定生产安全事故应急救援预案。</w:t>
            </w:r>
          </w:p>
        </w:tc>
        <w:tc>
          <w:tcPr>
            <w:tcW w:w="4335" w:type="dxa"/>
          </w:tcPr>
          <w:p w14:paraId="25252FE5">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1.初次违法且危害后果轻微并及时改正；</w:t>
            </w:r>
          </w:p>
          <w:p w14:paraId="26321316">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2.有证据已经制定事故应急救援预案，符合本单位安全生产实际情况和危险性分析情况，仅预案编制不规范。</w:t>
            </w:r>
          </w:p>
        </w:tc>
        <w:tc>
          <w:tcPr>
            <w:tcW w:w="5501" w:type="dxa"/>
          </w:tcPr>
          <w:p w14:paraId="0C37041C">
            <w:pPr>
              <w:pStyle w:val="11"/>
              <w:keepNext w:val="0"/>
              <w:keepLines w:val="0"/>
              <w:pageBreakBefore w:val="0"/>
              <w:kinsoku/>
              <w:wordWrap/>
              <w:overflowPunct/>
              <w:topLinePunct w:val="0"/>
              <w:autoSpaceDE/>
              <w:autoSpaceDN/>
              <w:bidi w:val="0"/>
              <w:adjustRightInd/>
              <w:snapToGrid/>
              <w:spacing w:line="590" w:lineRule="exact"/>
              <w:ind w:firstLine="0"/>
              <w:textAlignment w:val="auto"/>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【法律规定】</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《中华人民共和国安全生产法》</w:t>
            </w: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第八十一条：生产经营单位应当制定本单位生产安全事故应急救援预案，与所在地县级以上地方人民政府组织制定的生产安全事故应急救援预案相衔接，并定期组织演练。</w:t>
            </w:r>
          </w:p>
          <w:p w14:paraId="559C3117">
            <w:pPr>
              <w:pStyle w:val="11"/>
              <w:keepNext w:val="0"/>
              <w:keepLines w:val="0"/>
              <w:pageBreakBefore w:val="0"/>
              <w:kinsoku/>
              <w:wordWrap/>
              <w:overflowPunct/>
              <w:topLinePunct w:val="0"/>
              <w:autoSpaceDE/>
              <w:autoSpaceDN/>
              <w:bidi w:val="0"/>
              <w:adjustRightInd/>
              <w:snapToGrid/>
              <w:spacing w:line="590" w:lineRule="exact"/>
              <w:ind w:firstLine="0"/>
              <w:textAlignment w:val="auto"/>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【处罚依据】</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《中华人民共和国安全生产法》</w:t>
            </w: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第九十七条第六项：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p>
          <w:p w14:paraId="0331B93D">
            <w:pPr>
              <w:pStyle w:val="11"/>
              <w:keepNext w:val="0"/>
              <w:keepLines w:val="0"/>
              <w:pageBreakBefore w:val="0"/>
              <w:kinsoku/>
              <w:wordWrap/>
              <w:overflowPunct/>
              <w:topLinePunct w:val="0"/>
              <w:autoSpaceDE/>
              <w:autoSpaceDN/>
              <w:bidi w:val="0"/>
              <w:adjustRightInd/>
              <w:snapToGrid/>
              <w:spacing w:line="590" w:lineRule="exact"/>
              <w:ind w:firstLine="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（六）未按照规定制定生产安全事故应急救援预案或者未定期组织演练的。</w:t>
            </w:r>
          </w:p>
        </w:tc>
      </w:tr>
      <w:tr w14:paraId="1797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vAlign w:val="center"/>
          </w:tcPr>
          <w:p w14:paraId="4D173835">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4</w:t>
            </w:r>
          </w:p>
        </w:tc>
        <w:tc>
          <w:tcPr>
            <w:tcW w:w="3378" w:type="dxa"/>
            <w:vAlign w:val="center"/>
          </w:tcPr>
          <w:p w14:paraId="5AFEB357">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生产经营单位未按照规定定期组织应急预案演练。</w:t>
            </w:r>
          </w:p>
        </w:tc>
        <w:tc>
          <w:tcPr>
            <w:tcW w:w="4335" w:type="dxa"/>
          </w:tcPr>
          <w:p w14:paraId="060DC112">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1.初次违法且危害后果轻微并及时改正；</w:t>
            </w:r>
          </w:p>
          <w:p w14:paraId="36488661">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2.有证据证明已开展过应急预案演练，但演练次数不符合《生产安全事故应急预案管理办法》第三十三条要求的；</w:t>
            </w:r>
          </w:p>
          <w:p w14:paraId="732BA658">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3.矿山、金属冶炼企业，危险物品的生产、经营（带储存设施）、储存企业，宾馆、商场等人员密集场所经营单位除外。</w:t>
            </w:r>
          </w:p>
        </w:tc>
        <w:tc>
          <w:tcPr>
            <w:tcW w:w="5501" w:type="dxa"/>
          </w:tcPr>
          <w:p w14:paraId="345BB65B">
            <w:pPr>
              <w:pStyle w:val="11"/>
              <w:keepNext w:val="0"/>
              <w:keepLines w:val="0"/>
              <w:pageBreakBefore w:val="0"/>
              <w:kinsoku/>
              <w:wordWrap/>
              <w:overflowPunct/>
              <w:topLinePunct w:val="0"/>
              <w:autoSpaceDE/>
              <w:autoSpaceDN/>
              <w:bidi w:val="0"/>
              <w:adjustRightInd/>
              <w:snapToGrid/>
              <w:spacing w:line="590" w:lineRule="exact"/>
              <w:ind w:firstLine="0"/>
              <w:textAlignment w:val="auto"/>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【法律规定】</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《中华人民共和国安全生产法》</w:t>
            </w: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第八十一条：生产经营单位应当制定本单位生产安全事故应急救援预案，与所在地县级以上地方人民政府组织制定的生产安全事故应急救援预案相衔接，并定期组织演练。</w:t>
            </w:r>
          </w:p>
          <w:p w14:paraId="322E0DDD">
            <w:pPr>
              <w:pStyle w:val="11"/>
              <w:keepNext w:val="0"/>
              <w:keepLines w:val="0"/>
              <w:pageBreakBefore w:val="0"/>
              <w:kinsoku/>
              <w:wordWrap/>
              <w:overflowPunct/>
              <w:topLinePunct w:val="0"/>
              <w:autoSpaceDE/>
              <w:autoSpaceDN/>
              <w:bidi w:val="0"/>
              <w:adjustRightInd/>
              <w:snapToGrid/>
              <w:spacing w:line="590" w:lineRule="exact"/>
              <w:ind w:firstLine="0"/>
              <w:textAlignment w:val="auto"/>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【处罚依据】</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《中华人民共和国安全生产法》</w:t>
            </w: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第九十七条第六项</w:t>
            </w:r>
            <w:r>
              <w:rPr>
                <w:rStyle w:val="12"/>
                <w:rFonts w:hint="default" w:ascii="Times New Roman" w:hAnsi="Times New Roman" w:eastAsia="方正仿宋_GBK" w:cs="Times New Roman"/>
                <w:color w:val="000000" w:themeColor="text1"/>
                <w:sz w:val="28"/>
                <w:szCs w:val="28"/>
                <w14:textFill>
                  <w14:solidFill>
                    <w14:schemeClr w14:val="tx1"/>
                  </w14:solidFill>
                </w14:textFill>
              </w:rPr>
              <w:t>：</w:t>
            </w: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w:t>
            </w:r>
          </w:p>
          <w:p w14:paraId="397E5D34">
            <w:pPr>
              <w:pStyle w:val="11"/>
              <w:keepNext w:val="0"/>
              <w:keepLines w:val="0"/>
              <w:pageBreakBefore w:val="0"/>
              <w:kinsoku/>
              <w:wordWrap/>
              <w:overflowPunct/>
              <w:topLinePunct w:val="0"/>
              <w:autoSpaceDE/>
              <w:autoSpaceDN/>
              <w:bidi w:val="0"/>
              <w:adjustRightInd/>
              <w:snapToGrid/>
              <w:spacing w:line="590" w:lineRule="exact"/>
              <w:ind w:firstLine="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（六）未按照规定制定生产安全事故应急救援预案或者未定期组织演练的。</w:t>
            </w:r>
          </w:p>
        </w:tc>
      </w:tr>
      <w:tr w14:paraId="3527C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vAlign w:val="center"/>
          </w:tcPr>
          <w:p w14:paraId="2B784DF1">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5</w:t>
            </w:r>
          </w:p>
        </w:tc>
        <w:tc>
          <w:tcPr>
            <w:tcW w:w="3378" w:type="dxa"/>
            <w:vAlign w:val="center"/>
          </w:tcPr>
          <w:p w14:paraId="6985939B">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生产经营单位未在有较大危险因素的生产经营场所和有关设施、设备上设置明显的安全警示标志。</w:t>
            </w:r>
          </w:p>
        </w:tc>
        <w:tc>
          <w:tcPr>
            <w:tcW w:w="4335" w:type="dxa"/>
            <w:vAlign w:val="center"/>
          </w:tcPr>
          <w:p w14:paraId="0C924BA2">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1.初次违法且危害后果轻微并及时改正；</w:t>
            </w:r>
          </w:p>
          <w:p w14:paraId="4FCAFA69">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2.非有限空间作业场所；</w:t>
            </w:r>
          </w:p>
          <w:p w14:paraId="02E1E156">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3.有证据证明已设置安全警示标志，但位置不明显或者脱落后未及时张贴的。</w:t>
            </w:r>
          </w:p>
        </w:tc>
        <w:tc>
          <w:tcPr>
            <w:tcW w:w="5501" w:type="dxa"/>
          </w:tcPr>
          <w:p w14:paraId="155E0B75">
            <w:pPr>
              <w:pStyle w:val="11"/>
              <w:keepNext w:val="0"/>
              <w:keepLines w:val="0"/>
              <w:pageBreakBefore w:val="0"/>
              <w:kinsoku/>
              <w:wordWrap/>
              <w:overflowPunct/>
              <w:topLinePunct w:val="0"/>
              <w:autoSpaceDE/>
              <w:autoSpaceDN/>
              <w:bidi w:val="0"/>
              <w:adjustRightInd/>
              <w:snapToGrid/>
              <w:spacing w:line="590" w:lineRule="exact"/>
              <w:ind w:firstLine="0"/>
              <w:textAlignment w:val="auto"/>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【法律规定】</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《中华人民共和国安全生产法》</w:t>
            </w: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第三十五条：生产经营单位应当在有较大危险因素的生产经营场所和有关设施、设备上，设置明显的安全警示标志。</w:t>
            </w:r>
          </w:p>
          <w:p w14:paraId="2C747A13">
            <w:pPr>
              <w:pStyle w:val="11"/>
              <w:keepNext w:val="0"/>
              <w:keepLines w:val="0"/>
              <w:pageBreakBefore w:val="0"/>
              <w:kinsoku/>
              <w:wordWrap/>
              <w:overflowPunct/>
              <w:topLinePunct w:val="0"/>
              <w:autoSpaceDE/>
              <w:autoSpaceDN/>
              <w:bidi w:val="0"/>
              <w:adjustRightInd/>
              <w:snapToGrid/>
              <w:spacing w:line="590" w:lineRule="exact"/>
              <w:ind w:firstLine="0"/>
              <w:textAlignment w:val="auto"/>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【处罚依据】</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《中华人民共和国安全生产法》</w:t>
            </w: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第九十九条第一项：生产经营单位有下列行为之一的，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p w14:paraId="2AEB331E">
            <w:pPr>
              <w:pStyle w:val="11"/>
              <w:keepNext w:val="0"/>
              <w:keepLines w:val="0"/>
              <w:pageBreakBefore w:val="0"/>
              <w:kinsoku/>
              <w:wordWrap/>
              <w:overflowPunct/>
              <w:topLinePunct w:val="0"/>
              <w:autoSpaceDE/>
              <w:autoSpaceDN/>
              <w:bidi w:val="0"/>
              <w:adjustRightInd/>
              <w:snapToGrid/>
              <w:spacing w:line="590" w:lineRule="exact"/>
              <w:ind w:firstLine="0"/>
              <w:textAlignment w:val="auto"/>
              <w:rPr>
                <w:rFonts w:hint="default" w:ascii="Times New Roman" w:hAnsi="Times New Roman" w:eastAsia="方正仿宋_GBK" w:cs="Times New Roman"/>
                <w:b/>
                <w:bCs/>
                <w:color w:val="000000" w:themeColor="text1"/>
                <w:sz w:val="28"/>
                <w:szCs w:val="28"/>
                <w14:textFill>
                  <w14:solidFill>
                    <w14:schemeClr w14:val="tx1"/>
                  </w14:solidFill>
                </w14:textFill>
              </w:rPr>
            </w:pP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（一）未在有较大危险因素的生产经营场所和有关设施、设备上设置明显的安全警示标志的；</w:t>
            </w:r>
          </w:p>
        </w:tc>
      </w:tr>
      <w:tr w14:paraId="49D75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vAlign w:val="center"/>
          </w:tcPr>
          <w:p w14:paraId="040F1C3F">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6</w:t>
            </w:r>
          </w:p>
        </w:tc>
        <w:tc>
          <w:tcPr>
            <w:tcW w:w="3378" w:type="dxa"/>
            <w:vAlign w:val="center"/>
          </w:tcPr>
          <w:p w14:paraId="309A776A">
            <w:pPr>
              <w:pStyle w:val="11"/>
              <w:keepNext w:val="0"/>
              <w:keepLines w:val="0"/>
              <w:pageBreakBefore w:val="0"/>
              <w:kinsoku/>
              <w:wordWrap/>
              <w:overflowPunct/>
              <w:topLinePunct w:val="0"/>
              <w:autoSpaceDE/>
              <w:autoSpaceDN/>
              <w:bidi w:val="0"/>
              <w:adjustRightInd/>
              <w:snapToGrid/>
              <w:spacing w:line="590" w:lineRule="exact"/>
              <w:ind w:firstLine="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生产经营单位未建立安全风险分级管控制度。</w:t>
            </w:r>
          </w:p>
        </w:tc>
        <w:tc>
          <w:tcPr>
            <w:tcW w:w="4335" w:type="dxa"/>
            <w:vAlign w:val="center"/>
          </w:tcPr>
          <w:p w14:paraId="6764393C">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1.初次违法且危害后果轻微并及时改正；</w:t>
            </w:r>
          </w:p>
          <w:p w14:paraId="08C8FBB0">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2.有证据证明已按照安全风险分级采取相应的管控措施。</w:t>
            </w:r>
          </w:p>
        </w:tc>
        <w:tc>
          <w:tcPr>
            <w:tcW w:w="5501" w:type="dxa"/>
            <w:vAlign w:val="center"/>
          </w:tcPr>
          <w:p w14:paraId="35F85B34">
            <w:pPr>
              <w:pStyle w:val="11"/>
              <w:keepNext w:val="0"/>
              <w:keepLines w:val="0"/>
              <w:pageBreakBefore w:val="0"/>
              <w:kinsoku/>
              <w:wordWrap/>
              <w:overflowPunct/>
              <w:topLinePunct w:val="0"/>
              <w:autoSpaceDE/>
              <w:autoSpaceDN/>
              <w:bidi w:val="0"/>
              <w:adjustRightInd/>
              <w:snapToGrid/>
              <w:spacing w:line="590" w:lineRule="exact"/>
              <w:ind w:firstLine="0"/>
              <w:textAlignment w:val="auto"/>
              <w:rPr>
                <w:rStyle w:val="12"/>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【法律规定】</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《中华人民共和国安全生产法》</w:t>
            </w: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第四十一条第一款：生产经营单位应当建立安全风险分级管控制度，按照安全风险分级采取相应的管控措施。</w:t>
            </w:r>
          </w:p>
          <w:p w14:paraId="3103E1F1">
            <w:pPr>
              <w:pStyle w:val="11"/>
              <w:keepNext w:val="0"/>
              <w:keepLines w:val="0"/>
              <w:pageBreakBefore w:val="0"/>
              <w:kinsoku/>
              <w:wordWrap/>
              <w:overflowPunct/>
              <w:topLinePunct w:val="0"/>
              <w:autoSpaceDE/>
              <w:autoSpaceDN/>
              <w:bidi w:val="0"/>
              <w:adjustRightInd/>
              <w:snapToGrid/>
              <w:spacing w:line="590" w:lineRule="exact"/>
              <w:ind w:firstLine="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【处罚依据】</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《中华人民共和国安全生产法》第一百零一条第四项：</w:t>
            </w: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r>
              <w:rPr>
                <w:rStyle w:val="12"/>
                <w:rFonts w:hint="default" w:ascii="Times New Roman" w:hAnsi="Times New Roman" w:eastAsia="方正仿宋_GBK" w:cs="Times New Roman"/>
                <w:color w:val="000000" w:themeColor="text1"/>
                <w:sz w:val="28"/>
                <w:szCs w:val="28"/>
                <w14:textFill>
                  <w14:solidFill>
                    <w14:schemeClr w14:val="tx1"/>
                  </w14:solidFill>
                </w14:textFill>
              </w:rPr>
              <w:t>：</w:t>
            </w:r>
          </w:p>
          <w:p w14:paraId="737D3E18">
            <w:pPr>
              <w:keepNext w:val="0"/>
              <w:keepLines w:val="0"/>
              <w:pageBreakBefore w:val="0"/>
              <w:kinsoku/>
              <w:wordWrap/>
              <w:overflowPunct/>
              <w:topLinePunct w:val="0"/>
              <w:autoSpaceDE/>
              <w:autoSpaceDN/>
              <w:bidi w:val="0"/>
              <w:adjustRightInd/>
              <w:snapToGrid/>
              <w:spacing w:line="590" w:lineRule="exact"/>
              <w:jc w:val="left"/>
              <w:textAlignment w:val="auto"/>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（四）未建立安全风险分级管控制度或者未按照安全风险分级采取相应管控措施的；</w:t>
            </w:r>
          </w:p>
        </w:tc>
      </w:tr>
      <w:tr w14:paraId="0FEC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vAlign w:val="center"/>
          </w:tcPr>
          <w:p w14:paraId="336260F3">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7</w:t>
            </w:r>
          </w:p>
        </w:tc>
        <w:tc>
          <w:tcPr>
            <w:tcW w:w="3378" w:type="dxa"/>
            <w:vAlign w:val="center"/>
          </w:tcPr>
          <w:p w14:paraId="1B36A3C1">
            <w:pPr>
              <w:pStyle w:val="11"/>
              <w:keepNext w:val="0"/>
              <w:keepLines w:val="0"/>
              <w:pageBreakBefore w:val="0"/>
              <w:kinsoku/>
              <w:wordWrap/>
              <w:overflowPunct/>
              <w:topLinePunct w:val="0"/>
              <w:autoSpaceDE/>
              <w:autoSpaceDN/>
              <w:bidi w:val="0"/>
              <w:adjustRightInd/>
              <w:snapToGrid/>
              <w:spacing w:line="590" w:lineRule="exact"/>
              <w:ind w:firstLine="0"/>
              <w:jc w:val="both"/>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lang w:val="zh-CN"/>
                <w14:textFill>
                  <w14:solidFill>
                    <w14:schemeClr w14:val="tx1"/>
                  </w14:solidFill>
                </w14:textFill>
              </w:rPr>
              <w:t>生产经营单位未建立事故隐患排查治理制度。</w:t>
            </w:r>
          </w:p>
        </w:tc>
        <w:tc>
          <w:tcPr>
            <w:tcW w:w="4335" w:type="dxa"/>
            <w:vAlign w:val="center"/>
          </w:tcPr>
          <w:p w14:paraId="7FA2F64B">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1.初次违法且危害后果轻微并及时改正；</w:t>
            </w:r>
          </w:p>
          <w:p w14:paraId="0F915B33">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2.</w:t>
            </w:r>
            <w:r>
              <w:rPr>
                <w:rFonts w:hint="default" w:ascii="Times New Roman" w:hAnsi="Times New Roman" w:eastAsia="方正仿宋_GBK" w:cs="Times New Roman"/>
                <w:color w:val="000000" w:themeColor="text1"/>
                <w:kern w:val="0"/>
                <w:sz w:val="28"/>
                <w:szCs w:val="28"/>
                <w:lang w:val="zh-CN"/>
                <w14:textFill>
                  <w14:solidFill>
                    <w14:schemeClr w14:val="tx1"/>
                  </w14:solidFill>
                </w14:textFill>
              </w:rPr>
              <w:t>有证据证明已开展事故隐患排查治理工作</w:t>
            </w:r>
            <w:r>
              <w:rPr>
                <w:rFonts w:hint="default" w:ascii="Times New Roman" w:hAnsi="Times New Roman" w:eastAsia="方正仿宋_GBK" w:cs="Times New Roman"/>
                <w:color w:val="000000" w:themeColor="text1"/>
                <w:kern w:val="0"/>
                <w:sz w:val="28"/>
                <w:szCs w:val="28"/>
                <w14:textFill>
                  <w14:solidFill>
                    <w14:schemeClr w14:val="tx1"/>
                  </w14:solidFill>
                </w14:textFill>
              </w:rPr>
              <w:t>。</w:t>
            </w:r>
          </w:p>
        </w:tc>
        <w:tc>
          <w:tcPr>
            <w:tcW w:w="5501" w:type="dxa"/>
            <w:vAlign w:val="center"/>
          </w:tcPr>
          <w:p w14:paraId="1EF88B85">
            <w:pPr>
              <w:keepNext w:val="0"/>
              <w:keepLines w:val="0"/>
              <w:pageBreakBefore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bCs/>
                <w:color w:val="000000" w:themeColor="text1"/>
                <w:kern w:val="0"/>
                <w:sz w:val="28"/>
                <w:szCs w:val="28"/>
                <w14:textFill>
                  <w14:solidFill>
                    <w14:schemeClr w14:val="tx1"/>
                  </w14:solidFill>
                </w14:textFill>
              </w:rPr>
              <w:t>【法律规定】</w:t>
            </w:r>
            <w:r>
              <w:rPr>
                <w:rFonts w:hint="default" w:ascii="Times New Roman" w:hAnsi="Times New Roman" w:eastAsia="方正仿宋_GBK" w:cs="Times New Roman"/>
                <w:color w:val="000000" w:themeColor="text1"/>
                <w:kern w:val="0"/>
                <w:sz w:val="28"/>
                <w:szCs w:val="28"/>
                <w14:textFill>
                  <w14:solidFill>
                    <w14:schemeClr w14:val="tx1"/>
                  </w14:solidFill>
                </w14:textFill>
              </w:rPr>
              <w:t>《中华人民共和国安全生产法》</w:t>
            </w:r>
            <w:r>
              <w:rPr>
                <w:rFonts w:hint="default" w:ascii="Times New Roman" w:hAnsi="Times New Roman" w:eastAsia="方正仿宋_GBK" w:cs="Times New Roman"/>
                <w:bCs/>
                <w:color w:val="000000" w:themeColor="text1"/>
                <w:kern w:val="0"/>
                <w:sz w:val="28"/>
                <w:szCs w:val="28"/>
                <w14:textFill>
                  <w14:solidFill>
                    <w14:schemeClr w14:val="tx1"/>
                  </w14:solidFill>
                </w14:textFill>
              </w:rPr>
              <w:t>第四十一条第二款：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p w14:paraId="65BDD1DB">
            <w:pPr>
              <w:pStyle w:val="11"/>
              <w:keepNext w:val="0"/>
              <w:keepLines w:val="0"/>
              <w:pageBreakBefore w:val="0"/>
              <w:kinsoku/>
              <w:wordWrap/>
              <w:overflowPunct/>
              <w:topLinePunct w:val="0"/>
              <w:autoSpaceDE/>
              <w:autoSpaceDN/>
              <w:bidi w:val="0"/>
              <w:adjustRightInd/>
              <w:snapToGrid/>
              <w:spacing w:line="590" w:lineRule="exact"/>
              <w:ind w:firstLine="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【处罚依据】</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《中华人民共和国安全生产法》第一百零一条第五项：</w:t>
            </w:r>
            <w:r>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r>
              <w:rPr>
                <w:rStyle w:val="12"/>
                <w:rFonts w:hint="default" w:ascii="Times New Roman" w:hAnsi="Times New Roman" w:eastAsia="方正仿宋_GBK" w:cs="Times New Roman"/>
                <w:color w:val="000000" w:themeColor="text1"/>
                <w:sz w:val="28"/>
                <w:szCs w:val="28"/>
                <w14:textFill>
                  <w14:solidFill>
                    <w14:schemeClr w14:val="tx1"/>
                  </w14:solidFill>
                </w14:textFill>
              </w:rPr>
              <w:t>：</w:t>
            </w:r>
          </w:p>
          <w:p w14:paraId="470F8B88">
            <w:pPr>
              <w:keepNext w:val="0"/>
              <w:keepLines w:val="0"/>
              <w:pageBreakBefore w:val="0"/>
              <w:kinsoku/>
              <w:wordWrap/>
              <w:overflowPunct/>
              <w:topLinePunct w:val="0"/>
              <w:autoSpaceDE/>
              <w:autoSpaceDN/>
              <w:bidi w:val="0"/>
              <w:adjustRightInd/>
              <w:snapToGrid/>
              <w:spacing w:line="590" w:lineRule="exact"/>
              <w:jc w:val="left"/>
              <w:textAlignment w:val="auto"/>
              <w:rPr>
                <w:rStyle w:val="12"/>
                <w:rFonts w:hint="default" w:ascii="Times New Roman" w:hAnsi="Times New Roman" w:eastAsia="方正仿宋_GBK" w:cs="Times New Roman"/>
                <w:color w:val="000000" w:themeColor="text1"/>
                <w:sz w:val="28"/>
                <w:szCs w:val="28"/>
                <w:lang w:val="zh-CN"/>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（五）</w:t>
            </w:r>
            <w:r>
              <w:rPr>
                <w:rFonts w:hint="default" w:ascii="Times New Roman" w:hAnsi="Times New Roman" w:eastAsia="方正仿宋_GBK" w:cs="Times New Roman"/>
                <w:color w:val="000000" w:themeColor="text1"/>
                <w:kern w:val="0"/>
                <w:sz w:val="28"/>
                <w:szCs w:val="28"/>
                <w:lang w:val="zh-CN"/>
                <w14:textFill>
                  <w14:solidFill>
                    <w14:schemeClr w14:val="tx1"/>
                  </w14:solidFill>
                </w14:textFill>
              </w:rPr>
              <w:t>未建立事故隐患排查治理制度，或者重大事故隐患排查治理情况未按照规定报告的。</w:t>
            </w:r>
          </w:p>
        </w:tc>
      </w:tr>
      <w:tr w14:paraId="693BC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vAlign w:val="center"/>
          </w:tcPr>
          <w:p w14:paraId="78B54C4E">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8</w:t>
            </w:r>
          </w:p>
        </w:tc>
        <w:tc>
          <w:tcPr>
            <w:tcW w:w="3378" w:type="dxa"/>
            <w:vAlign w:val="center"/>
          </w:tcPr>
          <w:p w14:paraId="13632518">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生产经营单位未建立健全特种作业人员档案。</w:t>
            </w:r>
          </w:p>
        </w:tc>
        <w:tc>
          <w:tcPr>
            <w:tcW w:w="4335" w:type="dxa"/>
            <w:vAlign w:val="center"/>
          </w:tcPr>
          <w:p w14:paraId="2724EFEB">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1.初次违法且危害后果轻微并及时改正；</w:t>
            </w:r>
          </w:p>
          <w:p w14:paraId="743F1587">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kern w:val="0"/>
                <w:sz w:val="28"/>
                <w:szCs w:val="28"/>
                <w14:textFill>
                  <w14:solidFill>
                    <w14:schemeClr w14:val="tx1"/>
                  </w14:solidFill>
                </w14:textFill>
              </w:rPr>
            </w:pPr>
            <w:r>
              <w:rPr>
                <w:rFonts w:hint="default" w:ascii="Times New Roman" w:hAnsi="Times New Roman" w:eastAsia="方正仿宋_GBK" w:cs="Times New Roman"/>
                <w:color w:val="000000" w:themeColor="text1"/>
                <w:kern w:val="0"/>
                <w:sz w:val="28"/>
                <w:szCs w:val="28"/>
                <w14:textFill>
                  <w14:solidFill>
                    <w14:schemeClr w14:val="tx1"/>
                  </w14:solidFill>
                </w14:textFill>
              </w:rPr>
              <w:t>2.生产经营单位特种作业人员均取得特种作业操作证。</w:t>
            </w:r>
          </w:p>
        </w:tc>
        <w:tc>
          <w:tcPr>
            <w:tcW w:w="5501" w:type="dxa"/>
            <w:vAlign w:val="center"/>
          </w:tcPr>
          <w:p w14:paraId="44FF713A">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b/>
                <w:color w:val="000000" w:themeColor="text1"/>
                <w:kern w:val="0"/>
                <w:sz w:val="28"/>
                <w:szCs w:val="28"/>
                <w14:textFill>
                  <w14:solidFill>
                    <w14:schemeClr w14:val="tx1"/>
                  </w14:solidFill>
                </w14:textFill>
              </w:rPr>
            </w:pPr>
            <w:r>
              <w:rPr>
                <w:rFonts w:hint="default" w:ascii="Times New Roman" w:hAnsi="Times New Roman" w:eastAsia="方正仿宋_GBK" w:cs="Times New Roman"/>
                <w:bCs/>
                <w:color w:val="000000" w:themeColor="text1"/>
                <w:kern w:val="0"/>
                <w:sz w:val="28"/>
                <w:szCs w:val="28"/>
                <w14:textFill>
                  <w14:solidFill>
                    <w14:schemeClr w14:val="tx1"/>
                  </w14:solidFill>
                </w14:textFill>
              </w:rPr>
              <w:t>【法律规定】《特种作业人员安全技术培训考核管理规定》（国家</w:t>
            </w:r>
            <w:r>
              <w:rPr>
                <w:rFonts w:hint="default" w:ascii="Times New Roman" w:hAnsi="Times New Roman" w:eastAsia="方正仿宋_GBK" w:cs="Times New Roman"/>
                <w:bCs/>
                <w:color w:val="000000" w:themeColor="text1"/>
                <w:kern w:val="0"/>
                <w:sz w:val="28"/>
                <w:szCs w:val="28"/>
                <w:lang w:val="zh-CN"/>
                <w14:textFill>
                  <w14:solidFill>
                    <w14:schemeClr w14:val="tx1"/>
                  </w14:solidFill>
                </w14:textFill>
              </w:rPr>
              <w:t>安全监管</w:t>
            </w:r>
            <w:r>
              <w:rPr>
                <w:rFonts w:hint="default" w:ascii="Times New Roman" w:hAnsi="Times New Roman" w:eastAsia="方正仿宋_GBK" w:cs="Times New Roman"/>
                <w:bCs/>
                <w:color w:val="000000" w:themeColor="text1"/>
                <w:kern w:val="0"/>
                <w:sz w:val="28"/>
                <w:szCs w:val="28"/>
                <w14:textFill>
                  <w14:solidFill>
                    <w14:schemeClr w14:val="tx1"/>
                  </w14:solidFill>
                </w14:textFill>
              </w:rPr>
              <w:t>总局令第30号）</w:t>
            </w:r>
            <w:r>
              <w:rPr>
                <w:rFonts w:hint="default" w:ascii="Times New Roman" w:hAnsi="Times New Roman" w:eastAsia="方正仿宋_GBK" w:cs="Times New Roman"/>
                <w:color w:val="000000" w:themeColor="text1"/>
                <w:sz w:val="28"/>
                <w:szCs w:val="28"/>
                <w14:textFill>
                  <w14:solidFill>
                    <w14:schemeClr w14:val="tx1"/>
                  </w14:solidFill>
                </w14:textFill>
              </w:rPr>
              <w:t>第三十四条</w:t>
            </w:r>
            <w:r>
              <w:rPr>
                <w:rFonts w:hint="default" w:ascii="Times New Roman" w:hAnsi="Times New Roman" w:eastAsia="方正仿宋_GBK" w:cs="Times New Roman"/>
                <w:bCs/>
                <w:color w:val="000000" w:themeColor="text1"/>
                <w:kern w:val="0"/>
                <w:sz w:val="28"/>
                <w:szCs w:val="28"/>
                <w14:textFill>
                  <w14:solidFill>
                    <w14:schemeClr w14:val="tx1"/>
                  </w14:solidFill>
                </w14:textFill>
              </w:rPr>
              <w:t>：</w:t>
            </w:r>
            <w:r>
              <w:rPr>
                <w:rFonts w:hint="default" w:ascii="Times New Roman" w:hAnsi="Times New Roman" w:eastAsia="方正仿宋_GBK" w:cs="Times New Roman"/>
                <w:color w:val="000000" w:themeColor="text1"/>
                <w:sz w:val="28"/>
                <w:szCs w:val="28"/>
                <w14:textFill>
                  <w14:solidFill>
                    <w14:schemeClr w14:val="tx1"/>
                  </w14:solidFill>
                </w14:textFill>
              </w:rPr>
              <w:t>生产经营单位应当加强对本单位特种作业人员的管理，建立健全特种作业人员培训、复审档案，做好申报、培训、考核、复审的</w:t>
            </w:r>
            <w:r>
              <w:rPr>
                <w:rFonts w:hint="default" w:ascii="Times New Roman" w:hAnsi="Times New Roman" w:eastAsia="方正仿宋_GBK" w:cs="Times New Roman"/>
              </w:rPr>
              <w:fldChar w:fldCharType="begin"/>
            </w:r>
            <w:r>
              <w:rPr>
                <w:rFonts w:hint="default" w:ascii="Times New Roman" w:hAnsi="Times New Roman" w:eastAsia="方正仿宋_GBK" w:cs="Times New Roman"/>
              </w:rPr>
              <w:instrText xml:space="preserve"> HYPERLINK "https://baike.baidu.com/item/%E7%BB%84%E7%BB%87%E5%B7%A5%E4%BD%9C/590875?fromModule=lemma_inlink" \t "https://baike.baidu.com/item/%E7%89%B9%E7%A7%8D%E4%BD%9C%E4%B8%9A%E4%BA%BA%E5%91%98%E5%AE%89%E5%85%A8%E6%8A%80%E6%9C%AF%E5%9F%B9%E8%AE%AD%E8%80%83%E6%A0%B8%E7%AE%A1%E7%90%86%E8%A7%84%E5%AE%9A/_blank" </w:instrText>
            </w:r>
            <w:r>
              <w:rPr>
                <w:rFonts w:hint="default" w:ascii="Times New Roman" w:hAnsi="Times New Roman" w:eastAsia="方正仿宋_GBK" w:cs="Times New Roman"/>
              </w:rPr>
              <w:fldChar w:fldCharType="separate"/>
            </w:r>
            <w:r>
              <w:rPr>
                <w:rFonts w:hint="default" w:ascii="Times New Roman" w:hAnsi="Times New Roman" w:eastAsia="方正仿宋_GBK" w:cs="Times New Roman"/>
                <w:color w:val="000000" w:themeColor="text1"/>
                <w:sz w:val="28"/>
                <w:szCs w:val="28"/>
                <w14:textFill>
                  <w14:solidFill>
                    <w14:schemeClr w14:val="tx1"/>
                  </w14:solidFill>
                </w14:textFill>
              </w:rPr>
              <w:t>组织工作</w:t>
            </w:r>
            <w:r>
              <w:rPr>
                <w:rFonts w:hint="default" w:ascii="Times New Roman" w:hAnsi="Times New Roman" w:eastAsia="方正仿宋_GBK" w:cs="Times New Roman"/>
                <w:color w:val="000000" w:themeColor="text1"/>
                <w:sz w:val="28"/>
                <w:szCs w:val="28"/>
                <w14:textFill>
                  <w14:solidFill>
                    <w14:schemeClr w14:val="tx1"/>
                  </w14:solidFill>
                </w14:textFill>
              </w:rPr>
              <w:fldChar w:fldCharType="end"/>
            </w:r>
            <w:r>
              <w:rPr>
                <w:rFonts w:hint="default" w:ascii="Times New Roman" w:hAnsi="Times New Roman" w:eastAsia="方正仿宋_GBK" w:cs="Times New Roman"/>
                <w:color w:val="000000" w:themeColor="text1"/>
                <w:sz w:val="28"/>
                <w:szCs w:val="28"/>
                <w14:textFill>
                  <w14:solidFill>
                    <w14:schemeClr w14:val="tx1"/>
                  </w14:solidFill>
                </w14:textFill>
              </w:rPr>
              <w:t>和日常的检查工作。</w:t>
            </w:r>
          </w:p>
          <w:p w14:paraId="27B33205">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b/>
                <w:bCs/>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【处罚依据】《特种作业人员安全技术培训考核管理规定》（国家安全监管总局令第30号）第三十八条：生产经营单位未建立健全特种作业人员档案的，给予警告，并处1万元以下的罚款。</w:t>
            </w:r>
          </w:p>
        </w:tc>
      </w:tr>
    </w:tbl>
    <w:p w14:paraId="70223D5A">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sz w:val="32"/>
          <w:szCs w:val="32"/>
        </w:rPr>
      </w:pPr>
    </w:p>
    <w:p w14:paraId="0720063C">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小标宋_GBK" w:cs="Times New Roman"/>
          <w:sz w:val="44"/>
          <w:szCs w:val="44"/>
        </w:rPr>
      </w:pPr>
    </w:p>
    <w:p w14:paraId="69C191A1">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sz w:val="32"/>
          <w:szCs w:val="32"/>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E4FE0">
    <w:pPr>
      <w:pStyle w:val="3"/>
      <w:widowControl w:val="0"/>
      <w:pBdr>
        <w:top w:val="single" w:color="4F81BD" w:sz="18" w:space="1"/>
        <w:left w:val="none" w:color="auto" w:sz="0" w:space="4"/>
        <w:bottom w:val="none" w:color="auto" w:sz="0" w:space="1"/>
        <w:right w:val="none" w:color="auto" w:sz="0" w:space="4"/>
        <w:between w:val="none" w:color="auto" w:sz="0" w:space="0"/>
      </w:pBdr>
      <w:snapToGrid w:val="0"/>
      <w:jc w:val="right"/>
      <w:rPr>
        <w:rFonts w:hint="eastAsia" w:eastAsia="宋体"/>
        <w:lang w:eastAsia="zh-CN"/>
      </w:rPr>
    </w:pPr>
    <w:r>
      <w:rPr>
        <w:rFonts w:hint="eastAsia" w:ascii="宋体" w:hAnsi="宋体" w:eastAsia="宋体" w:cs="宋体"/>
        <w:b/>
        <w:bCs/>
        <w:color w:val="0070C0"/>
        <w:sz w:val="28"/>
        <w:szCs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-294640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F7EE53">
                          <w:pPr>
                            <w:pStyle w:val="3"/>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23.2pt;height:144pt;width:144pt;mso-position-horizontal:outside;mso-position-horizontal-relative:margin;mso-wrap-style:none;z-index:251659264;mso-width-relative:page;mso-height-relative:page;" filled="f" stroked="f" coordsize="21600,21600" o:gfxdata="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KaH2sfVAAAACAEAAA8AAAAAAAAAAQAgAAAAIgAAAGRycy9kb3du&#10;cmV2LnhtbFBLAQIUABQAAAAIAIdO4kAK3ViRyQEAAJkDAAAOAAAAAAAAAAEAIAAAACQBAABkcnMv&#10;ZTJvRG9jLnhtbFBLBQYAAAAABgAGAFkBAABfBQAAAAA=&#10;">
              <v:fill on="f" focussize="0,0"/>
              <v:stroke on="f"/>
              <v:imagedata o:title=""/>
              <o:lock v:ext="edit" aspectratio="f"/>
              <v:textbox inset="0mm,0mm,0mm,0mm" style="mso-fit-shape-to-text:t;">
                <w:txbxContent>
                  <w:p w14:paraId="0FF7EE53">
                    <w:pPr>
                      <w:pStyle w:val="3"/>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r>
      <w:rPr>
        <w:rFonts w:hint="eastAsia" w:ascii="宋体" w:hAnsi="宋体" w:eastAsia="宋体" w:cs="宋体"/>
        <w:b/>
        <w:bCs/>
        <w:color w:val="0070C0"/>
        <w:sz w:val="28"/>
        <w:szCs w:val="28"/>
        <w:lang w:val="en-US" w:eastAsia="zh-CN"/>
      </w:rPr>
      <w:t>池州市</w:t>
    </w:r>
    <w:r>
      <w:rPr>
        <w:rFonts w:hint="eastAsia" w:ascii="宋体" w:hAnsi="宋体" w:cs="宋体"/>
        <w:b/>
        <w:bCs/>
        <w:color w:val="0070C0"/>
        <w:sz w:val="28"/>
        <w:szCs w:val="28"/>
        <w:lang w:val="en-US" w:eastAsia="zh-CN"/>
      </w:rPr>
      <w:t>应急管理局</w:t>
    </w:r>
    <w:r>
      <w:rPr>
        <w:rFonts w:hint="eastAsia" w:ascii="宋体" w:hAnsi="宋体" w:eastAsia="宋体" w:cs="宋体"/>
        <w:b/>
        <w:bCs/>
        <w:color w:val="0070C0"/>
        <w:sz w:val="28"/>
        <w:szCs w:val="28"/>
        <w:lang w:val="en-US" w:eastAsia="zh-CN"/>
      </w:rPr>
      <w:t>发布</w:t>
    </w:r>
  </w:p>
  <w:p w14:paraId="5D28DC9A">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A1C6B">
    <w:pPr>
      <w:pStyle w:val="4"/>
      <w:keepNext w:val="0"/>
      <w:keepLines w:val="0"/>
      <w:pageBreakBefore w:val="0"/>
      <w:widowControl w:val="0"/>
      <w:pBdr>
        <w:top w:val="none" w:color="auto" w:sz="0" w:space="1"/>
        <w:left w:val="none" w:color="auto" w:sz="0" w:space="4"/>
        <w:bottom w:val="single" w:color="4F81BD" w:sz="18" w:space="1"/>
        <w:right w:val="none" w:color="auto" w:sz="0" w:space="4"/>
        <w:between w:val="none" w:color="auto" w:sz="0" w:space="0"/>
      </w:pBdr>
      <w:kinsoku/>
      <w:wordWrap/>
      <w:overflowPunct/>
      <w:topLinePunct w:val="0"/>
      <w:autoSpaceDE/>
      <w:autoSpaceDN/>
      <w:bidi w:val="0"/>
      <w:adjustRightInd/>
      <w:snapToGrid w:val="0"/>
      <w:spacing w:line="590" w:lineRule="exact"/>
      <w:jc w:val="both"/>
      <w:textAlignment w:val="auto"/>
      <w:outlineLvl w:val="9"/>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70C0"/>
        <w:sz w:val="32"/>
        <w:szCs w:val="32"/>
        <w:lang w:val="en-US" w:eastAsia="zh-CN"/>
      </w:rPr>
      <w:t>池州市</w:t>
    </w:r>
    <w:r>
      <w:rPr>
        <w:rFonts w:hint="eastAsia" w:ascii="宋体" w:hAnsi="宋体" w:cs="宋体"/>
        <w:b/>
        <w:bCs/>
        <w:color w:val="0070C0"/>
        <w:sz w:val="32"/>
        <w:szCs w:val="32"/>
        <w:lang w:val="en-US" w:eastAsia="zh-CN"/>
      </w:rPr>
      <w:t>应急管理局</w:t>
    </w:r>
    <w:r>
      <w:rPr>
        <w:rFonts w:hint="eastAsia" w:ascii="宋体" w:hAnsi="宋体" w:eastAsia="宋体" w:cs="宋体"/>
        <w:b/>
        <w:bCs/>
        <w:color w:val="0070C0"/>
        <w:sz w:val="32"/>
        <w:szCs w:val="32"/>
        <w:lang w:val="en-US" w:eastAsia="zh-CN"/>
      </w:rPr>
      <w:t>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3MDBjMTY5MDEwNjExNzczODUzNmEzYzJiZWVlMjYifQ=="/>
  </w:docVars>
  <w:rsids>
    <w:rsidRoot w:val="00C164B2"/>
    <w:rsid w:val="0002307F"/>
    <w:rsid w:val="003268A5"/>
    <w:rsid w:val="004A5ECF"/>
    <w:rsid w:val="00BC0C7A"/>
    <w:rsid w:val="00C164B2"/>
    <w:rsid w:val="00C61F0D"/>
    <w:rsid w:val="00F9041A"/>
    <w:rsid w:val="04903E4C"/>
    <w:rsid w:val="07F37ABA"/>
    <w:rsid w:val="0C28597F"/>
    <w:rsid w:val="16E171D4"/>
    <w:rsid w:val="18E83AB2"/>
    <w:rsid w:val="1A783C24"/>
    <w:rsid w:val="2A7E7657"/>
    <w:rsid w:val="2C8706D2"/>
    <w:rsid w:val="391A2C2A"/>
    <w:rsid w:val="42A85CB2"/>
    <w:rsid w:val="42B949E1"/>
    <w:rsid w:val="47891A19"/>
    <w:rsid w:val="47BF665C"/>
    <w:rsid w:val="48223734"/>
    <w:rsid w:val="50050943"/>
    <w:rsid w:val="52367843"/>
    <w:rsid w:val="53B86CFB"/>
    <w:rsid w:val="54611FCF"/>
    <w:rsid w:val="61C52EF5"/>
    <w:rsid w:val="673514C6"/>
    <w:rsid w:val="67DB66DA"/>
    <w:rsid w:val="6C1808E6"/>
    <w:rsid w:val="74A569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9"/>
    <w:pPr>
      <w:spacing w:before="100" w:beforeAutospacing="1" w:after="100" w:afterAutospacing="1"/>
      <w:jc w:val="left"/>
      <w:outlineLvl w:val="1"/>
    </w:pPr>
    <w:rPr>
      <w:rFonts w:ascii="宋体" w:hAnsi="宋体" w:eastAsia="宋体" w:cs="宋体"/>
      <w:b/>
      <w:bCs/>
      <w:kern w:val="0"/>
      <w:sz w:val="36"/>
      <w:szCs w:val="36"/>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link w:val="14"/>
    <w:qFormat/>
    <w:uiPriority w:val="0"/>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qFormat/>
    <w:uiPriority w:val="0"/>
    <w:pPr>
      <w:spacing w:beforeAutospacing="1" w:afterAutospacing="1"/>
      <w:jc w:val="left"/>
    </w:pPr>
    <w:rPr>
      <w:rFonts w:cs="Times New Roman"/>
      <w:kern w:val="0"/>
      <w:sz w:val="24"/>
    </w:rPr>
  </w:style>
  <w:style w:type="table" w:styleId="7">
    <w:name w:val="Table Grid"/>
    <w:basedOn w:val="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autoRedefine/>
    <w:qFormat/>
    <w:uiPriority w:val="0"/>
    <w:rPr>
      <w:color w:val="0000FF"/>
      <w:u w:val="single"/>
    </w:rPr>
  </w:style>
  <w:style w:type="table" w:customStyle="1" w:styleId="10">
    <w:name w:val="网格型1"/>
    <w:basedOn w:val="6"/>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1">
    <w:name w:val="faguicon_p"/>
    <w:basedOn w:val="1"/>
    <w:autoRedefine/>
    <w:qFormat/>
    <w:uiPriority w:val="0"/>
    <w:pPr>
      <w:widowControl/>
      <w:ind w:firstLine="480"/>
      <w:jc w:val="left"/>
    </w:pPr>
    <w:rPr>
      <w:rFonts w:ascii="微软雅黑" w:hAnsi="微软雅黑" w:eastAsia="微软雅黑" w:cs="微软雅黑"/>
      <w:kern w:val="0"/>
      <w:sz w:val="24"/>
    </w:rPr>
  </w:style>
  <w:style w:type="character" w:customStyle="1" w:styleId="12">
    <w:name w:val="any"/>
    <w:basedOn w:val="8"/>
    <w:autoRedefine/>
    <w:qFormat/>
    <w:uiPriority w:val="0"/>
  </w:style>
  <w:style w:type="character" w:customStyle="1" w:styleId="13">
    <w:name w:val="页眉 Char"/>
    <w:basedOn w:val="8"/>
    <w:link w:val="4"/>
    <w:qFormat/>
    <w:uiPriority w:val="0"/>
    <w:rPr>
      <w:rFonts w:asciiTheme="minorHAnsi" w:hAnsiTheme="minorHAnsi" w:eastAsiaTheme="minorEastAsia" w:cstheme="minorBidi"/>
      <w:kern w:val="2"/>
      <w:sz w:val="18"/>
      <w:szCs w:val="18"/>
    </w:rPr>
  </w:style>
  <w:style w:type="character" w:customStyle="1" w:styleId="14">
    <w:name w:val="页脚 Char"/>
    <w:basedOn w:val="8"/>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4331</Words>
  <Characters>4370</Characters>
  <Lines>4</Lines>
  <Paragraphs>9</Paragraphs>
  <TotalTime>0</TotalTime>
  <ScaleCrop>false</ScaleCrop>
  <LinksUpToDate>false</LinksUpToDate>
  <CharactersWithSpaces>4376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2024-05-27T03:07:00Z</dcterms:created>
  <dc:creator>Administrator</dc:creator>
  <cp:lastModifiedBy>WPS_1753090807</cp:lastModifiedBy>
  <cp:lastPrinted>2024-05-20T07:56:00Z</cp:lastPrinted>
  <dcterms:modified xsi:type="dcterms:W3CDTF">2025-11-19T03:30:13Z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B29787DE14B34E94977FCA06232963AA_13</vt:lpwstr>
  </property>
  <property fmtid="{D5CDD505-2E9C-101B-9397-08002B2CF9AE}" pid="4" name="KSOTemplateDocerSaveRecord">
    <vt:lpwstr>eyJoZGlkIjoiZGFmMGM0YjAyOGQ5NTM1YjMxNjY5ZWRhYjA5MjkzNGIiLCJ1c2VySWQiOiIxNzIyNjQ0MTU2In0=</vt:lpwstr>
  </property>
</Properties>
</file>